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03563" w14:textId="77777777" w:rsidR="0067541D" w:rsidRPr="00BE716C" w:rsidRDefault="0067541D">
      <w:pPr>
        <w:spacing w:line="240" w:lineRule="auto"/>
        <w:jc w:val="center"/>
        <w:rPr>
          <w:rFonts w:ascii="Times New Roman" w:eastAsia="Times New Roman" w:hAnsi="Times New Roman" w:cs="Times New Roman"/>
          <w:b/>
          <w:sz w:val="24"/>
          <w:szCs w:val="24"/>
        </w:rPr>
      </w:pPr>
      <w:bookmarkStart w:id="0" w:name="_GoBack"/>
      <w:bookmarkEnd w:id="0"/>
    </w:p>
    <w:p w14:paraId="7FECDE98" w14:textId="77777777" w:rsidR="0067541D" w:rsidRPr="00BE716C" w:rsidRDefault="00A731DD">
      <w:pPr>
        <w:spacing w:line="240" w:lineRule="auto"/>
        <w:jc w:val="center"/>
        <w:rPr>
          <w:rFonts w:ascii="Times New Roman" w:eastAsia="Times New Roman" w:hAnsi="Times New Roman" w:cs="Times New Roman"/>
          <w:b/>
          <w:sz w:val="24"/>
          <w:szCs w:val="24"/>
        </w:rPr>
      </w:pPr>
      <w:r w:rsidRPr="00BE716C">
        <w:rPr>
          <w:rFonts w:ascii="Times New Roman" w:eastAsia="Times New Roman" w:hAnsi="Times New Roman" w:cs="Times New Roman"/>
          <w:b/>
          <w:sz w:val="24"/>
          <w:szCs w:val="24"/>
        </w:rPr>
        <w:t>Meeting of the Town of Dedham Commission of Trust Funds</w:t>
      </w:r>
    </w:p>
    <w:p w14:paraId="3D245FEF" w14:textId="118C0262" w:rsidR="0067541D" w:rsidRPr="00BE716C" w:rsidRDefault="00A731DD">
      <w:pPr>
        <w:spacing w:line="240" w:lineRule="auto"/>
        <w:jc w:val="center"/>
        <w:rPr>
          <w:rFonts w:ascii="Times New Roman" w:eastAsia="Times New Roman" w:hAnsi="Times New Roman" w:cs="Times New Roman"/>
          <w:b/>
          <w:sz w:val="24"/>
          <w:szCs w:val="24"/>
        </w:rPr>
      </w:pPr>
      <w:r w:rsidRPr="00BE716C">
        <w:rPr>
          <w:rFonts w:ascii="Times New Roman" w:eastAsia="Times New Roman" w:hAnsi="Times New Roman" w:cs="Times New Roman"/>
          <w:b/>
          <w:sz w:val="24"/>
          <w:szCs w:val="24"/>
        </w:rPr>
        <w:t xml:space="preserve">Wednesday, </w:t>
      </w:r>
      <w:r w:rsidR="001646D1">
        <w:rPr>
          <w:rFonts w:ascii="Times New Roman" w:eastAsia="Times New Roman" w:hAnsi="Times New Roman" w:cs="Times New Roman"/>
          <w:b/>
          <w:sz w:val="24"/>
          <w:szCs w:val="24"/>
        </w:rPr>
        <w:t>November 20,</w:t>
      </w:r>
      <w:r w:rsidR="00730E4E" w:rsidRPr="00BE716C">
        <w:rPr>
          <w:rFonts w:ascii="Times New Roman" w:eastAsia="Times New Roman" w:hAnsi="Times New Roman" w:cs="Times New Roman"/>
          <w:b/>
          <w:sz w:val="24"/>
          <w:szCs w:val="24"/>
        </w:rPr>
        <w:t xml:space="preserve"> 2019</w:t>
      </w:r>
    </w:p>
    <w:p w14:paraId="37813143" w14:textId="77777777" w:rsidR="0067541D" w:rsidRPr="00BE716C" w:rsidRDefault="00A731DD">
      <w:pPr>
        <w:spacing w:line="240" w:lineRule="auto"/>
        <w:jc w:val="center"/>
        <w:rPr>
          <w:rFonts w:ascii="Times New Roman" w:eastAsia="Times New Roman" w:hAnsi="Times New Roman" w:cs="Times New Roman"/>
          <w:b/>
          <w:sz w:val="24"/>
          <w:szCs w:val="24"/>
        </w:rPr>
      </w:pPr>
      <w:r w:rsidRPr="00BE716C">
        <w:rPr>
          <w:rFonts w:ascii="Times New Roman" w:eastAsia="Times New Roman" w:hAnsi="Times New Roman" w:cs="Times New Roman"/>
          <w:b/>
          <w:sz w:val="24"/>
          <w:szCs w:val="24"/>
        </w:rPr>
        <w:t>Francis W. O’Brien Meeting Room</w:t>
      </w:r>
    </w:p>
    <w:p w14:paraId="724B9E38" w14:textId="77777777" w:rsidR="0067541D" w:rsidRPr="00BE716C" w:rsidRDefault="00A731DD">
      <w:pPr>
        <w:spacing w:line="240" w:lineRule="auto"/>
        <w:jc w:val="center"/>
        <w:rPr>
          <w:rFonts w:ascii="Times New Roman" w:eastAsia="Times New Roman" w:hAnsi="Times New Roman" w:cs="Times New Roman"/>
          <w:b/>
          <w:sz w:val="24"/>
          <w:szCs w:val="24"/>
        </w:rPr>
      </w:pPr>
      <w:r w:rsidRPr="00BE716C">
        <w:rPr>
          <w:rFonts w:ascii="Times New Roman" w:eastAsia="Times New Roman" w:hAnsi="Times New Roman" w:cs="Times New Roman"/>
          <w:b/>
          <w:sz w:val="24"/>
          <w:szCs w:val="24"/>
        </w:rPr>
        <w:t>Dedham Town Hall</w:t>
      </w:r>
    </w:p>
    <w:p w14:paraId="7612B158" w14:textId="77777777" w:rsidR="00730E4E" w:rsidRPr="00BE716C" w:rsidRDefault="00730E4E">
      <w:pPr>
        <w:spacing w:line="240" w:lineRule="auto"/>
        <w:rPr>
          <w:rFonts w:ascii="Times New Roman" w:eastAsia="Times New Roman" w:hAnsi="Times New Roman" w:cs="Times New Roman"/>
          <w:b/>
          <w:sz w:val="24"/>
          <w:szCs w:val="24"/>
        </w:rPr>
      </w:pPr>
    </w:p>
    <w:p w14:paraId="11B74359" w14:textId="6CF0F10B" w:rsidR="00956B0C" w:rsidRPr="00BE716C" w:rsidRDefault="00A731DD">
      <w:pPr>
        <w:spacing w:line="240" w:lineRule="auto"/>
        <w:rPr>
          <w:rFonts w:ascii="Times New Roman" w:eastAsia="Times New Roman" w:hAnsi="Times New Roman" w:cs="Times New Roman"/>
          <w:sz w:val="24"/>
          <w:szCs w:val="24"/>
        </w:rPr>
      </w:pPr>
      <w:r w:rsidRPr="00BE716C">
        <w:rPr>
          <w:rFonts w:ascii="Times New Roman" w:eastAsia="Times New Roman" w:hAnsi="Times New Roman" w:cs="Times New Roman"/>
          <w:b/>
          <w:sz w:val="24"/>
          <w:szCs w:val="24"/>
        </w:rPr>
        <w:t>In attendance:</w:t>
      </w:r>
      <w:r w:rsidRPr="00BE716C">
        <w:rPr>
          <w:rFonts w:ascii="Times New Roman" w:eastAsia="Times New Roman" w:hAnsi="Times New Roman" w:cs="Times New Roman"/>
          <w:sz w:val="24"/>
          <w:szCs w:val="24"/>
        </w:rPr>
        <w:t xml:space="preserve"> </w:t>
      </w:r>
      <w:r w:rsidR="005A1908" w:rsidRPr="00BE716C">
        <w:rPr>
          <w:rFonts w:ascii="Times New Roman" w:eastAsia="Times New Roman" w:hAnsi="Times New Roman" w:cs="Times New Roman"/>
          <w:sz w:val="24"/>
          <w:szCs w:val="24"/>
        </w:rPr>
        <w:t>Bob Desmond,</w:t>
      </w:r>
      <w:r w:rsidR="00011CC3" w:rsidRPr="00BE716C">
        <w:rPr>
          <w:rFonts w:ascii="Times New Roman" w:eastAsia="Times New Roman" w:hAnsi="Times New Roman" w:cs="Times New Roman"/>
          <w:sz w:val="24"/>
          <w:szCs w:val="24"/>
        </w:rPr>
        <w:t xml:space="preserve"> Chair; </w:t>
      </w:r>
      <w:r w:rsidR="001646D1">
        <w:rPr>
          <w:rFonts w:ascii="Times New Roman" w:eastAsia="Times New Roman" w:hAnsi="Times New Roman" w:cs="Times New Roman"/>
          <w:sz w:val="24"/>
          <w:szCs w:val="24"/>
        </w:rPr>
        <w:t xml:space="preserve">Ron Slack, Vice Chair; </w:t>
      </w:r>
      <w:r w:rsidRPr="00BE716C">
        <w:rPr>
          <w:rFonts w:ascii="Times New Roman" w:eastAsia="Times New Roman" w:hAnsi="Times New Roman" w:cs="Times New Roman"/>
          <w:sz w:val="24"/>
          <w:szCs w:val="24"/>
        </w:rPr>
        <w:t>Emily Reynolds, Clerk</w:t>
      </w:r>
      <w:r w:rsidR="00E47935" w:rsidRPr="00BE716C">
        <w:rPr>
          <w:rFonts w:ascii="Times New Roman" w:eastAsia="Times New Roman" w:hAnsi="Times New Roman" w:cs="Times New Roman"/>
          <w:sz w:val="24"/>
          <w:szCs w:val="24"/>
        </w:rPr>
        <w:t>; Sal</w:t>
      </w:r>
      <w:r w:rsidR="00141F69" w:rsidRPr="00BE716C">
        <w:rPr>
          <w:rFonts w:ascii="Times New Roman" w:eastAsia="Times New Roman" w:hAnsi="Times New Roman" w:cs="Times New Roman"/>
          <w:sz w:val="24"/>
          <w:szCs w:val="24"/>
        </w:rPr>
        <w:t>vatore</w:t>
      </w:r>
      <w:r w:rsidR="00E47935" w:rsidRPr="00BE716C">
        <w:rPr>
          <w:rFonts w:ascii="Times New Roman" w:eastAsia="Times New Roman" w:hAnsi="Times New Roman" w:cs="Times New Roman"/>
          <w:sz w:val="24"/>
          <w:szCs w:val="24"/>
        </w:rPr>
        <w:t xml:space="preserve"> Spada</w:t>
      </w:r>
      <w:r w:rsidR="001646D1">
        <w:rPr>
          <w:rFonts w:ascii="Times New Roman" w:eastAsia="Times New Roman" w:hAnsi="Times New Roman" w:cs="Times New Roman"/>
          <w:sz w:val="24"/>
          <w:szCs w:val="24"/>
        </w:rPr>
        <w:t>; Dan O’Neil</w:t>
      </w:r>
      <w:r w:rsidR="00E47935" w:rsidRPr="00BE716C">
        <w:rPr>
          <w:rFonts w:ascii="Times New Roman" w:eastAsia="Times New Roman" w:hAnsi="Times New Roman" w:cs="Times New Roman"/>
          <w:sz w:val="24"/>
          <w:szCs w:val="24"/>
        </w:rPr>
        <w:t xml:space="preserve">. </w:t>
      </w:r>
      <w:r w:rsidRPr="00BE716C">
        <w:rPr>
          <w:rFonts w:ascii="Times New Roman" w:eastAsia="Times New Roman" w:hAnsi="Times New Roman" w:cs="Times New Roman"/>
          <w:sz w:val="24"/>
          <w:szCs w:val="24"/>
        </w:rPr>
        <w:t xml:space="preserve">Non-voting: Treasurer Jane </w:t>
      </w:r>
      <w:proofErr w:type="spellStart"/>
      <w:r w:rsidRPr="00BE716C">
        <w:rPr>
          <w:rFonts w:ascii="Times New Roman" w:eastAsia="Times New Roman" w:hAnsi="Times New Roman" w:cs="Times New Roman"/>
          <w:sz w:val="24"/>
          <w:szCs w:val="24"/>
        </w:rPr>
        <w:t>Lepardo</w:t>
      </w:r>
      <w:proofErr w:type="spellEnd"/>
      <w:r w:rsidRPr="00BE716C">
        <w:rPr>
          <w:rFonts w:ascii="Times New Roman" w:eastAsia="Times New Roman" w:hAnsi="Times New Roman" w:cs="Times New Roman"/>
          <w:sz w:val="24"/>
          <w:szCs w:val="24"/>
        </w:rPr>
        <w:t>.</w:t>
      </w:r>
      <w:r w:rsidR="001753AB" w:rsidRPr="00BE716C">
        <w:rPr>
          <w:rFonts w:ascii="Times New Roman" w:eastAsia="Times New Roman" w:hAnsi="Times New Roman" w:cs="Times New Roman"/>
          <w:sz w:val="24"/>
          <w:szCs w:val="24"/>
        </w:rPr>
        <w:t xml:space="preserve"> </w:t>
      </w:r>
    </w:p>
    <w:p w14:paraId="22953E12" w14:textId="77777777" w:rsidR="0067541D" w:rsidRPr="00BE716C" w:rsidRDefault="0067541D">
      <w:pPr>
        <w:spacing w:line="240" w:lineRule="auto"/>
        <w:rPr>
          <w:rFonts w:ascii="Times New Roman" w:eastAsia="Times New Roman" w:hAnsi="Times New Roman" w:cs="Times New Roman"/>
          <w:sz w:val="24"/>
          <w:szCs w:val="24"/>
        </w:rPr>
      </w:pPr>
    </w:p>
    <w:p w14:paraId="527B08C9" w14:textId="65FC2AED" w:rsidR="0067541D" w:rsidRPr="00BE716C" w:rsidRDefault="00A731DD">
      <w:pPr>
        <w:spacing w:line="240" w:lineRule="auto"/>
        <w:rPr>
          <w:rFonts w:ascii="Times New Roman" w:eastAsia="Times New Roman" w:hAnsi="Times New Roman" w:cs="Times New Roman"/>
          <w:sz w:val="24"/>
          <w:szCs w:val="24"/>
        </w:rPr>
      </w:pPr>
      <w:r w:rsidRPr="00BE716C">
        <w:rPr>
          <w:rFonts w:ascii="Times New Roman" w:eastAsia="Times New Roman" w:hAnsi="Times New Roman" w:cs="Times New Roman"/>
          <w:sz w:val="24"/>
          <w:szCs w:val="24"/>
        </w:rPr>
        <w:t xml:space="preserve">Meeting called to order at </w:t>
      </w:r>
      <w:r w:rsidR="005A1908" w:rsidRPr="00BE716C">
        <w:rPr>
          <w:rFonts w:ascii="Times New Roman" w:eastAsia="Times New Roman" w:hAnsi="Times New Roman" w:cs="Times New Roman"/>
          <w:b/>
          <w:sz w:val="24"/>
          <w:szCs w:val="24"/>
        </w:rPr>
        <w:t>7:</w:t>
      </w:r>
      <w:r w:rsidR="001646D1">
        <w:rPr>
          <w:rFonts w:ascii="Times New Roman" w:eastAsia="Times New Roman" w:hAnsi="Times New Roman" w:cs="Times New Roman"/>
          <w:b/>
          <w:sz w:val="24"/>
          <w:szCs w:val="24"/>
        </w:rPr>
        <w:t>02</w:t>
      </w:r>
      <w:r w:rsidRPr="00BE716C">
        <w:rPr>
          <w:rFonts w:ascii="Times New Roman" w:eastAsia="Times New Roman" w:hAnsi="Times New Roman" w:cs="Times New Roman"/>
          <w:b/>
          <w:sz w:val="24"/>
          <w:szCs w:val="24"/>
        </w:rPr>
        <w:t xml:space="preserve"> PM</w:t>
      </w:r>
      <w:r w:rsidRPr="00BE716C">
        <w:rPr>
          <w:rFonts w:ascii="Times New Roman" w:eastAsia="Times New Roman" w:hAnsi="Times New Roman" w:cs="Times New Roman"/>
          <w:sz w:val="24"/>
          <w:szCs w:val="24"/>
        </w:rPr>
        <w:t xml:space="preserve"> EST. </w:t>
      </w:r>
    </w:p>
    <w:p w14:paraId="0F629715" w14:textId="544ABD52" w:rsidR="00F25C68" w:rsidRPr="00BE716C" w:rsidRDefault="00F25C68" w:rsidP="006B1DB3">
      <w:pPr>
        <w:spacing w:line="240" w:lineRule="auto"/>
        <w:rPr>
          <w:rFonts w:ascii="Times New Roman" w:eastAsia="Times New Roman" w:hAnsi="Times New Roman" w:cs="Times New Roman"/>
          <w:sz w:val="24"/>
          <w:szCs w:val="24"/>
        </w:rPr>
      </w:pPr>
    </w:p>
    <w:p w14:paraId="29D74B13" w14:textId="2D154604" w:rsidR="00F25C68" w:rsidRPr="00BE716C" w:rsidRDefault="00F25C68" w:rsidP="00F25C68">
      <w:pPr>
        <w:tabs>
          <w:tab w:val="left" w:pos="360"/>
        </w:tabs>
        <w:spacing w:line="240" w:lineRule="auto"/>
        <w:rPr>
          <w:rFonts w:ascii="Times New Roman" w:eastAsia="Times New Roman" w:hAnsi="Times New Roman" w:cs="Times New Roman"/>
          <w:sz w:val="24"/>
          <w:szCs w:val="24"/>
        </w:rPr>
      </w:pPr>
      <w:r w:rsidRPr="00BE716C">
        <w:rPr>
          <w:rFonts w:ascii="Times New Roman" w:eastAsia="Times New Roman" w:hAnsi="Times New Roman" w:cs="Times New Roman"/>
          <w:b/>
          <w:sz w:val="24"/>
          <w:szCs w:val="24"/>
          <w:u w:val="single"/>
        </w:rPr>
        <w:t>Public Input:</w:t>
      </w:r>
      <w:r w:rsidRPr="00BE716C">
        <w:rPr>
          <w:rFonts w:ascii="Times New Roman" w:eastAsia="Times New Roman" w:hAnsi="Times New Roman" w:cs="Times New Roman"/>
          <w:b/>
          <w:sz w:val="24"/>
          <w:szCs w:val="24"/>
        </w:rPr>
        <w:t xml:space="preserve"> </w:t>
      </w:r>
      <w:r w:rsidRPr="00BE716C">
        <w:rPr>
          <w:rFonts w:ascii="Times New Roman" w:eastAsia="Times New Roman" w:hAnsi="Times New Roman" w:cs="Times New Roman"/>
          <w:sz w:val="24"/>
          <w:szCs w:val="24"/>
        </w:rPr>
        <w:t xml:space="preserve">No members of the public were present. </w:t>
      </w:r>
      <w:r w:rsidR="001646D1">
        <w:rPr>
          <w:rFonts w:ascii="Times New Roman" w:eastAsia="Times New Roman" w:hAnsi="Times New Roman" w:cs="Times New Roman"/>
          <w:sz w:val="24"/>
          <w:szCs w:val="24"/>
        </w:rPr>
        <w:t>There were, however,</w:t>
      </w:r>
      <w:r w:rsidR="00447FEF">
        <w:rPr>
          <w:rFonts w:ascii="Times New Roman" w:eastAsia="Times New Roman" w:hAnsi="Times New Roman" w:cs="Times New Roman"/>
          <w:sz w:val="24"/>
          <w:szCs w:val="24"/>
        </w:rPr>
        <w:t xml:space="preserve"> </w:t>
      </w:r>
      <w:r w:rsidR="001646D1">
        <w:rPr>
          <w:rFonts w:ascii="Times New Roman" w:eastAsia="Times New Roman" w:hAnsi="Times New Roman" w:cs="Times New Roman"/>
          <w:sz w:val="24"/>
          <w:szCs w:val="24"/>
        </w:rPr>
        <w:t xml:space="preserve">representatives from three local organizations: Becky </w:t>
      </w:r>
      <w:proofErr w:type="spellStart"/>
      <w:r w:rsidR="001646D1">
        <w:rPr>
          <w:rFonts w:ascii="Times New Roman" w:eastAsia="Times New Roman" w:hAnsi="Times New Roman" w:cs="Times New Roman"/>
          <w:sz w:val="24"/>
          <w:szCs w:val="24"/>
        </w:rPr>
        <w:t>Lavely</w:t>
      </w:r>
      <w:proofErr w:type="spellEnd"/>
      <w:r w:rsidR="001646D1">
        <w:rPr>
          <w:rFonts w:ascii="Times New Roman" w:eastAsia="Times New Roman" w:hAnsi="Times New Roman" w:cs="Times New Roman"/>
          <w:sz w:val="24"/>
          <w:szCs w:val="24"/>
        </w:rPr>
        <w:t xml:space="preserve"> from the West Roxbury YMCA; Karen Webber from the VNA; and Michelle Persson Reilly and Jenn</w:t>
      </w:r>
      <w:r w:rsidR="000D467A">
        <w:rPr>
          <w:rFonts w:ascii="Times New Roman" w:eastAsia="Times New Roman" w:hAnsi="Times New Roman" w:cs="Times New Roman"/>
          <w:sz w:val="24"/>
          <w:szCs w:val="24"/>
        </w:rPr>
        <w:t>ifer</w:t>
      </w:r>
      <w:r w:rsidR="001646D1">
        <w:rPr>
          <w:rFonts w:ascii="Times New Roman" w:eastAsia="Times New Roman" w:hAnsi="Times New Roman" w:cs="Times New Roman"/>
          <w:sz w:val="24"/>
          <w:szCs w:val="24"/>
        </w:rPr>
        <w:t xml:space="preserve"> Putnam from the Dedham Community House. They were invited guests who would be requesting funding from specific funds.  </w:t>
      </w:r>
    </w:p>
    <w:p w14:paraId="4367EFA5" w14:textId="77777777" w:rsidR="00F25C68" w:rsidRPr="00BE716C" w:rsidRDefault="00F25C68" w:rsidP="00F25C68">
      <w:pPr>
        <w:tabs>
          <w:tab w:val="left" w:pos="360"/>
        </w:tabs>
        <w:spacing w:line="240" w:lineRule="auto"/>
        <w:rPr>
          <w:rFonts w:ascii="Times New Roman" w:eastAsia="Times New Roman" w:hAnsi="Times New Roman" w:cs="Times New Roman"/>
          <w:sz w:val="24"/>
          <w:szCs w:val="24"/>
        </w:rPr>
      </w:pPr>
    </w:p>
    <w:p w14:paraId="05615B52" w14:textId="04C5B51B" w:rsidR="00F25C68" w:rsidRDefault="00F25C68" w:rsidP="00F25C68">
      <w:pPr>
        <w:tabs>
          <w:tab w:val="left" w:pos="360"/>
        </w:tabs>
        <w:spacing w:line="240" w:lineRule="auto"/>
        <w:rPr>
          <w:rFonts w:ascii="Times New Roman" w:eastAsia="Times New Roman" w:hAnsi="Times New Roman" w:cs="Times New Roman"/>
          <w:sz w:val="24"/>
          <w:szCs w:val="24"/>
        </w:rPr>
      </w:pPr>
      <w:r w:rsidRPr="00BE716C">
        <w:rPr>
          <w:rFonts w:ascii="Times New Roman" w:eastAsia="Times New Roman" w:hAnsi="Times New Roman" w:cs="Times New Roman"/>
          <w:b/>
          <w:sz w:val="24"/>
          <w:szCs w:val="24"/>
          <w:u w:val="single"/>
        </w:rPr>
        <w:t>Review of the Minutes:</w:t>
      </w:r>
      <w:r w:rsidRPr="00BE716C">
        <w:rPr>
          <w:rFonts w:ascii="Times New Roman" w:eastAsia="Times New Roman" w:hAnsi="Times New Roman" w:cs="Times New Roman"/>
          <w:b/>
          <w:sz w:val="24"/>
          <w:szCs w:val="24"/>
        </w:rPr>
        <w:t xml:space="preserve"> </w:t>
      </w:r>
      <w:r w:rsidRPr="00BE716C">
        <w:rPr>
          <w:rFonts w:ascii="Times New Roman" w:eastAsia="Times New Roman" w:hAnsi="Times New Roman" w:cs="Times New Roman"/>
          <w:sz w:val="24"/>
          <w:szCs w:val="24"/>
        </w:rPr>
        <w:t xml:space="preserve">Commissioner </w:t>
      </w:r>
      <w:r w:rsidR="001646D1">
        <w:rPr>
          <w:rFonts w:ascii="Times New Roman" w:eastAsia="Times New Roman" w:hAnsi="Times New Roman" w:cs="Times New Roman"/>
          <w:sz w:val="24"/>
          <w:szCs w:val="24"/>
        </w:rPr>
        <w:t>Slack</w:t>
      </w:r>
      <w:r w:rsidRPr="00BE716C">
        <w:rPr>
          <w:rFonts w:ascii="Times New Roman" w:eastAsia="Times New Roman" w:hAnsi="Times New Roman" w:cs="Times New Roman"/>
          <w:sz w:val="24"/>
          <w:szCs w:val="24"/>
        </w:rPr>
        <w:t xml:space="preserve"> moved to approve the </w:t>
      </w:r>
      <w:r w:rsidR="001646D1">
        <w:rPr>
          <w:rFonts w:ascii="Times New Roman" w:eastAsia="Times New Roman" w:hAnsi="Times New Roman" w:cs="Times New Roman"/>
          <w:sz w:val="24"/>
          <w:szCs w:val="24"/>
        </w:rPr>
        <w:t>September 25</w:t>
      </w:r>
      <w:r w:rsidR="00F500F0" w:rsidRPr="00BE716C">
        <w:rPr>
          <w:rFonts w:ascii="Times New Roman" w:eastAsia="Times New Roman" w:hAnsi="Times New Roman" w:cs="Times New Roman"/>
          <w:sz w:val="24"/>
          <w:szCs w:val="24"/>
        </w:rPr>
        <w:t>, 2019</w:t>
      </w:r>
      <w:r w:rsidRPr="00BE716C">
        <w:rPr>
          <w:rFonts w:ascii="Times New Roman" w:eastAsia="Times New Roman" w:hAnsi="Times New Roman" w:cs="Times New Roman"/>
          <w:sz w:val="24"/>
          <w:szCs w:val="24"/>
        </w:rPr>
        <w:t xml:space="preserve"> meeting minutes</w:t>
      </w:r>
      <w:r w:rsidR="00F500F0" w:rsidRPr="00BE716C">
        <w:rPr>
          <w:rFonts w:ascii="Times New Roman" w:eastAsia="Times New Roman" w:hAnsi="Times New Roman" w:cs="Times New Roman"/>
          <w:sz w:val="24"/>
          <w:szCs w:val="24"/>
        </w:rPr>
        <w:t>.</w:t>
      </w:r>
      <w:r w:rsidRPr="00BE716C">
        <w:rPr>
          <w:rFonts w:ascii="Times New Roman" w:eastAsia="Times New Roman" w:hAnsi="Times New Roman" w:cs="Times New Roman"/>
          <w:sz w:val="24"/>
          <w:szCs w:val="24"/>
        </w:rPr>
        <w:t xml:space="preserve"> The minutes were approved by general consent. </w:t>
      </w:r>
    </w:p>
    <w:p w14:paraId="2FC192DE" w14:textId="302C221F" w:rsidR="00AD3B92" w:rsidRDefault="00AD3B92" w:rsidP="00F25C68">
      <w:pPr>
        <w:tabs>
          <w:tab w:val="left" w:pos="360"/>
        </w:tabs>
        <w:spacing w:line="240" w:lineRule="auto"/>
        <w:rPr>
          <w:rFonts w:ascii="Times New Roman" w:eastAsia="Times New Roman" w:hAnsi="Times New Roman" w:cs="Times New Roman"/>
          <w:sz w:val="24"/>
          <w:szCs w:val="24"/>
        </w:rPr>
      </w:pPr>
    </w:p>
    <w:p w14:paraId="2825C014" w14:textId="46862DEB" w:rsidR="00AD3B92" w:rsidRPr="00BE716C" w:rsidRDefault="00AD3B92" w:rsidP="00F25C68">
      <w:pPr>
        <w:tabs>
          <w:tab w:val="left" w:pos="360"/>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Commissioner Spada raised the question, address</w:t>
      </w:r>
      <w:r w:rsidR="00F95515">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at the September meeting, about fund disbursements for the new Senior Center. </w:t>
      </w:r>
      <w:r w:rsidR="000D467A">
        <w:rPr>
          <w:rFonts w:ascii="Times New Roman" w:eastAsia="Times New Roman" w:hAnsi="Times New Roman" w:cs="Times New Roman"/>
          <w:sz w:val="24"/>
          <w:szCs w:val="24"/>
        </w:rPr>
        <w:t xml:space="preserve">Treasurer </w:t>
      </w:r>
      <w:proofErr w:type="spellStart"/>
      <w:r>
        <w:rPr>
          <w:rFonts w:ascii="Times New Roman" w:eastAsia="Times New Roman" w:hAnsi="Times New Roman" w:cs="Times New Roman"/>
          <w:sz w:val="24"/>
          <w:szCs w:val="24"/>
        </w:rPr>
        <w:t>Lepardo</w:t>
      </w:r>
      <w:proofErr w:type="spellEnd"/>
      <w:r>
        <w:rPr>
          <w:rFonts w:ascii="Times New Roman" w:eastAsia="Times New Roman" w:hAnsi="Times New Roman" w:cs="Times New Roman"/>
          <w:sz w:val="24"/>
          <w:szCs w:val="24"/>
        </w:rPr>
        <w:t xml:space="preserve"> announced that furniture is anticipated to be delivered in mid-December, and the new Town Hall/Senior Center is expected to have a mid-January move-in date. Jane will email internal parties to coordinate the future request of funds. </w:t>
      </w:r>
    </w:p>
    <w:p w14:paraId="02F90C1E" w14:textId="77777777" w:rsidR="00F25C68" w:rsidRPr="00BE716C" w:rsidRDefault="00F25C68" w:rsidP="00F25C68">
      <w:pPr>
        <w:tabs>
          <w:tab w:val="left" w:pos="360"/>
        </w:tabs>
        <w:spacing w:line="240" w:lineRule="auto"/>
        <w:rPr>
          <w:rFonts w:ascii="Times New Roman" w:eastAsia="Times New Roman" w:hAnsi="Times New Roman" w:cs="Times New Roman"/>
          <w:sz w:val="24"/>
          <w:szCs w:val="24"/>
        </w:rPr>
      </w:pPr>
    </w:p>
    <w:p w14:paraId="27529EA3" w14:textId="039E3F20" w:rsidR="00F25C68" w:rsidRPr="00BE716C" w:rsidRDefault="00F25C68" w:rsidP="00F25C68">
      <w:pPr>
        <w:tabs>
          <w:tab w:val="left" w:pos="360"/>
        </w:tabs>
        <w:spacing w:line="240" w:lineRule="auto"/>
        <w:rPr>
          <w:rFonts w:ascii="Times New Roman" w:eastAsia="Times New Roman" w:hAnsi="Times New Roman" w:cs="Times New Roman"/>
          <w:sz w:val="24"/>
          <w:szCs w:val="24"/>
        </w:rPr>
      </w:pPr>
      <w:r w:rsidRPr="00BE716C">
        <w:rPr>
          <w:rFonts w:ascii="Times New Roman" w:eastAsia="Times New Roman" w:hAnsi="Times New Roman" w:cs="Times New Roman"/>
          <w:b/>
          <w:sz w:val="24"/>
          <w:szCs w:val="24"/>
          <w:u w:val="single"/>
        </w:rPr>
        <w:t>Commission Member Contact Information and Town Website Postings:</w:t>
      </w:r>
      <w:r w:rsidRPr="00BE716C">
        <w:rPr>
          <w:rFonts w:ascii="Times New Roman" w:eastAsia="Times New Roman" w:hAnsi="Times New Roman" w:cs="Times New Roman"/>
          <w:b/>
          <w:sz w:val="24"/>
          <w:szCs w:val="24"/>
        </w:rPr>
        <w:t xml:space="preserve"> </w:t>
      </w:r>
      <w:r w:rsidRPr="00BE716C">
        <w:rPr>
          <w:rFonts w:ascii="Times New Roman" w:eastAsia="Times New Roman" w:hAnsi="Times New Roman" w:cs="Times New Roman"/>
          <w:sz w:val="24"/>
          <w:szCs w:val="24"/>
        </w:rPr>
        <w:t xml:space="preserve">Commission Chair </w:t>
      </w:r>
      <w:r w:rsidR="00F500F0" w:rsidRPr="00BE716C">
        <w:rPr>
          <w:rFonts w:ascii="Times New Roman" w:eastAsia="Times New Roman" w:hAnsi="Times New Roman" w:cs="Times New Roman"/>
          <w:sz w:val="24"/>
          <w:szCs w:val="24"/>
        </w:rPr>
        <w:t xml:space="preserve">Desmond </w:t>
      </w:r>
      <w:r w:rsidRPr="00BE716C">
        <w:rPr>
          <w:rFonts w:ascii="Times New Roman" w:eastAsia="Times New Roman" w:hAnsi="Times New Roman" w:cs="Times New Roman"/>
          <w:sz w:val="24"/>
          <w:szCs w:val="24"/>
        </w:rPr>
        <w:t xml:space="preserve">gave a reminder to provide contact information. </w:t>
      </w:r>
    </w:p>
    <w:p w14:paraId="279C8E7D" w14:textId="77777777" w:rsidR="00F25C68" w:rsidRPr="00BE716C" w:rsidRDefault="00F25C68" w:rsidP="00F25C68">
      <w:pPr>
        <w:spacing w:line="240" w:lineRule="auto"/>
        <w:rPr>
          <w:rFonts w:ascii="Times New Roman" w:eastAsia="Times New Roman" w:hAnsi="Times New Roman" w:cs="Times New Roman"/>
          <w:sz w:val="24"/>
          <w:szCs w:val="24"/>
        </w:rPr>
      </w:pPr>
    </w:p>
    <w:p w14:paraId="16963952" w14:textId="552DBBF3" w:rsidR="00F95515" w:rsidRDefault="00FD7E60" w:rsidP="00FD7E60">
      <w:pPr>
        <w:pStyle w:val="NormalWeb"/>
        <w:spacing w:before="0" w:beforeAutospacing="0" w:after="0" w:afterAutospacing="0"/>
        <w:rPr>
          <w:b/>
          <w:color w:val="000000"/>
          <w:u w:val="single"/>
        </w:rPr>
      </w:pPr>
      <w:r w:rsidRPr="004E68FE">
        <w:rPr>
          <w:b/>
          <w:color w:val="000000"/>
          <w:u w:val="single"/>
        </w:rPr>
        <w:t xml:space="preserve">Social Services Funding Requests: </w:t>
      </w:r>
    </w:p>
    <w:p w14:paraId="56904061" w14:textId="7702A0AD" w:rsidR="00F95515" w:rsidRDefault="00F95515" w:rsidP="00FD7E60">
      <w:pPr>
        <w:pStyle w:val="NormalWeb"/>
        <w:spacing w:before="0" w:beforeAutospacing="0" w:after="0" w:afterAutospacing="0"/>
        <w:rPr>
          <w:b/>
          <w:color w:val="000000"/>
          <w:u w:val="single"/>
        </w:rPr>
      </w:pPr>
    </w:p>
    <w:p w14:paraId="6F79AAE5" w14:textId="6D6B46CE" w:rsidR="00816FBA" w:rsidRPr="00FD7E60" w:rsidRDefault="00816FBA" w:rsidP="00816FBA">
      <w:pPr>
        <w:pStyle w:val="NormalWeb"/>
        <w:spacing w:before="0" w:beforeAutospacing="0" w:after="0" w:afterAutospacing="0"/>
        <w:rPr>
          <w:color w:val="000000"/>
          <w:highlight w:val="yellow"/>
        </w:rPr>
      </w:pPr>
      <w:r w:rsidRPr="004E68FE">
        <w:rPr>
          <w:b/>
          <w:i/>
          <w:color w:val="000000"/>
        </w:rPr>
        <w:t>From the YMCA, West Roxbury Branch:</w:t>
      </w:r>
      <w:r w:rsidRPr="004E68FE">
        <w:rPr>
          <w:color w:val="000000"/>
        </w:rPr>
        <w:t xml:space="preserve"> </w:t>
      </w:r>
      <w:r w:rsidRPr="0006308B">
        <w:rPr>
          <w:color w:val="000000"/>
        </w:rPr>
        <w:t xml:space="preserve">Becky </w:t>
      </w:r>
      <w:proofErr w:type="spellStart"/>
      <w:r w:rsidRPr="0006308B">
        <w:rPr>
          <w:color w:val="000000"/>
        </w:rPr>
        <w:t>Lavely</w:t>
      </w:r>
      <w:proofErr w:type="spellEnd"/>
      <w:r w:rsidRPr="00311AC8">
        <w:rPr>
          <w:color w:val="000000"/>
        </w:rPr>
        <w:t>, Teen Director, presented</w:t>
      </w:r>
      <w:r w:rsidRPr="0006308B">
        <w:rPr>
          <w:color w:val="000000"/>
        </w:rPr>
        <w:t xml:space="preserve"> about the YMCA’s activities and impact within the Dedham Community, notably after-school</w:t>
      </w:r>
      <w:r w:rsidRPr="00C56F97">
        <w:rPr>
          <w:color w:val="000000"/>
        </w:rPr>
        <w:t xml:space="preserve"> programs</w:t>
      </w:r>
      <w:r>
        <w:rPr>
          <w:color w:val="000000"/>
        </w:rPr>
        <w:t xml:space="preserve"> and summer camp programs,</w:t>
      </w:r>
      <w:r w:rsidRPr="00C56F97">
        <w:rPr>
          <w:color w:val="000000"/>
        </w:rPr>
        <w:t xml:space="preserve"> </w:t>
      </w:r>
      <w:r>
        <w:rPr>
          <w:color w:val="000000"/>
        </w:rPr>
        <w:t>as well as</w:t>
      </w:r>
      <w:r w:rsidRPr="00C56F97">
        <w:rPr>
          <w:color w:val="000000"/>
        </w:rPr>
        <w:t xml:space="preserve"> the </w:t>
      </w:r>
      <w:r>
        <w:rPr>
          <w:color w:val="000000"/>
        </w:rPr>
        <w:t>Y</w:t>
      </w:r>
      <w:r w:rsidRPr="00C56F97">
        <w:rPr>
          <w:color w:val="000000"/>
        </w:rPr>
        <w:t xml:space="preserve">outh and </w:t>
      </w:r>
      <w:r>
        <w:rPr>
          <w:color w:val="000000"/>
        </w:rPr>
        <w:t>G</w:t>
      </w:r>
      <w:r w:rsidRPr="00C56F97">
        <w:rPr>
          <w:color w:val="000000"/>
        </w:rPr>
        <w:t xml:space="preserve">overnment program, which directly serve Dedham residents. </w:t>
      </w:r>
      <w:r w:rsidR="007402C3">
        <w:rPr>
          <w:color w:val="000000"/>
        </w:rPr>
        <w:t xml:space="preserve">The latter consists of weekly sessions at </w:t>
      </w:r>
      <w:r w:rsidR="00447FEF">
        <w:rPr>
          <w:color w:val="000000"/>
        </w:rPr>
        <w:t>Dedham High School</w:t>
      </w:r>
      <w:r w:rsidR="007402C3">
        <w:rPr>
          <w:color w:val="000000"/>
        </w:rPr>
        <w:t xml:space="preserve">, and has grown from one student to </w:t>
      </w:r>
      <w:r w:rsidR="007402C3" w:rsidRPr="00311AC8">
        <w:rPr>
          <w:color w:val="000000"/>
        </w:rPr>
        <w:t xml:space="preserve">23. </w:t>
      </w:r>
      <w:r w:rsidRPr="00311AC8">
        <w:rPr>
          <w:color w:val="000000"/>
        </w:rPr>
        <w:t xml:space="preserve">Dedham Trust Funds disbursed to the YMCA are applied directly toward the programs serving needy Dedham youths. </w:t>
      </w:r>
    </w:p>
    <w:p w14:paraId="299E0070" w14:textId="77777777" w:rsidR="00816FBA" w:rsidRPr="00FD7E60" w:rsidRDefault="00816FBA" w:rsidP="00816FBA">
      <w:pPr>
        <w:pStyle w:val="NormalWeb"/>
        <w:spacing w:before="0" w:beforeAutospacing="0" w:after="0" w:afterAutospacing="0"/>
        <w:rPr>
          <w:color w:val="000000"/>
          <w:highlight w:val="yellow"/>
        </w:rPr>
      </w:pPr>
    </w:p>
    <w:p w14:paraId="61D8FE16" w14:textId="2E65E5B6" w:rsidR="00FD7E60" w:rsidRDefault="00FD7E60" w:rsidP="00FD7E60">
      <w:pPr>
        <w:pStyle w:val="NormalWeb"/>
        <w:spacing w:before="0" w:beforeAutospacing="0" w:after="0" w:afterAutospacing="0"/>
        <w:rPr>
          <w:color w:val="000000"/>
        </w:rPr>
      </w:pPr>
      <w:r w:rsidRPr="004E68FE">
        <w:rPr>
          <w:b/>
          <w:i/>
          <w:color w:val="000000"/>
        </w:rPr>
        <w:t>From the Visiting Nurse Association (“VNA”):</w:t>
      </w:r>
      <w:r w:rsidRPr="004E68FE">
        <w:rPr>
          <w:i/>
          <w:color w:val="000000"/>
        </w:rPr>
        <w:t xml:space="preserve"> </w:t>
      </w:r>
      <w:r w:rsidRPr="004E68FE">
        <w:rPr>
          <w:color w:val="000000"/>
        </w:rPr>
        <w:t>Kar</w:t>
      </w:r>
      <w:r>
        <w:rPr>
          <w:color w:val="000000"/>
        </w:rPr>
        <w:t xml:space="preserve">en Webber, </w:t>
      </w:r>
      <w:r w:rsidR="00EB7F95">
        <w:rPr>
          <w:color w:val="000000"/>
        </w:rPr>
        <w:t>Director of Fund Development</w:t>
      </w:r>
      <w:r>
        <w:rPr>
          <w:color w:val="000000"/>
        </w:rPr>
        <w:t xml:space="preserve">, gave an overview of the VNA’s </w:t>
      </w:r>
      <w:r w:rsidRPr="00EB7F95">
        <w:rPr>
          <w:color w:val="000000"/>
        </w:rPr>
        <w:t>services, and noted that there were 1,</w:t>
      </w:r>
      <w:r w:rsidR="00EB7F95" w:rsidRPr="00EB7F95">
        <w:rPr>
          <w:color w:val="000000"/>
        </w:rPr>
        <w:t>100</w:t>
      </w:r>
      <w:r w:rsidRPr="00EB7F95">
        <w:rPr>
          <w:color w:val="000000"/>
        </w:rPr>
        <w:t xml:space="preserve"> Dedham patients served in 2</w:t>
      </w:r>
      <w:r w:rsidR="00EB7F95" w:rsidRPr="00EB7F95">
        <w:rPr>
          <w:color w:val="000000"/>
        </w:rPr>
        <w:t>018, including nearly $5,900 home health visits to Dedham residents.</w:t>
      </w:r>
      <w:r w:rsidRPr="00EB7F95">
        <w:rPr>
          <w:color w:val="000000"/>
        </w:rPr>
        <w:t xml:space="preserve"> The total value of these services in 201</w:t>
      </w:r>
      <w:r w:rsidR="00EB7F95" w:rsidRPr="00EB7F95">
        <w:rPr>
          <w:color w:val="000000"/>
        </w:rPr>
        <w:t>8</w:t>
      </w:r>
      <w:r w:rsidRPr="00EB7F95">
        <w:rPr>
          <w:color w:val="000000"/>
        </w:rPr>
        <w:t xml:space="preserve"> to Dedham residents was approximately $</w:t>
      </w:r>
      <w:r w:rsidR="00EB7F95">
        <w:rPr>
          <w:color w:val="000000"/>
        </w:rPr>
        <w:t>182,000</w:t>
      </w:r>
      <w:r w:rsidRPr="00EB7F95">
        <w:rPr>
          <w:color w:val="000000"/>
        </w:rPr>
        <w:t xml:space="preserve">. </w:t>
      </w:r>
    </w:p>
    <w:p w14:paraId="5C988F7F" w14:textId="77777777" w:rsidR="00FD7E60" w:rsidRDefault="00FD7E60" w:rsidP="00FD7E60">
      <w:pPr>
        <w:pStyle w:val="NormalWeb"/>
        <w:spacing w:before="0" w:beforeAutospacing="0" w:after="0" w:afterAutospacing="0"/>
        <w:rPr>
          <w:color w:val="000000"/>
        </w:rPr>
      </w:pPr>
    </w:p>
    <w:p w14:paraId="36900B25" w14:textId="4654B149" w:rsidR="000D467A" w:rsidRDefault="00FD7E60" w:rsidP="00FD7E60">
      <w:pPr>
        <w:pStyle w:val="NormalWeb"/>
        <w:spacing w:before="0" w:beforeAutospacing="0" w:after="0" w:afterAutospacing="0"/>
        <w:rPr>
          <w:color w:val="000000"/>
        </w:rPr>
      </w:pPr>
      <w:r w:rsidRPr="004E68FE">
        <w:rPr>
          <w:b/>
          <w:i/>
          <w:color w:val="000000"/>
        </w:rPr>
        <w:lastRenderedPageBreak/>
        <w:t>From the Dedham Community House</w:t>
      </w:r>
      <w:r>
        <w:rPr>
          <w:b/>
          <w:i/>
          <w:color w:val="000000"/>
        </w:rPr>
        <w:t xml:space="preserve"> (“DCH”):</w:t>
      </w:r>
      <w:r w:rsidRPr="004E68FE">
        <w:rPr>
          <w:b/>
          <w:i/>
          <w:color w:val="000000"/>
        </w:rPr>
        <w:t xml:space="preserve"> </w:t>
      </w:r>
      <w:r>
        <w:rPr>
          <w:color w:val="000000"/>
        </w:rPr>
        <w:t xml:space="preserve">Michelle Persson Reilly, Executive Director, </w:t>
      </w:r>
      <w:r w:rsidR="00816FBA">
        <w:rPr>
          <w:color w:val="000000"/>
        </w:rPr>
        <w:t>and Jenny Putnam, Program Director,</w:t>
      </w:r>
      <w:r w:rsidR="000D467A">
        <w:rPr>
          <w:color w:val="000000"/>
        </w:rPr>
        <w:t xml:space="preserve"> described the growing need to fund scholarships for its summer camp, which saw record </w:t>
      </w:r>
      <w:r w:rsidR="00447FEF">
        <w:rPr>
          <w:color w:val="000000"/>
        </w:rPr>
        <w:t>attendance</w:t>
      </w:r>
      <w:r w:rsidR="000D467A">
        <w:rPr>
          <w:color w:val="000000"/>
        </w:rPr>
        <w:t xml:space="preserve"> in 2019, and the preschool. Between these two programs, approximately $88,000 was awarded in grants in 2019 ($66,000 and $22,000, respectively) as it aims to “serve the families more fully.” </w:t>
      </w:r>
    </w:p>
    <w:p w14:paraId="079BE237" w14:textId="77777777" w:rsidR="000D467A" w:rsidRPr="000D467A" w:rsidRDefault="000D467A" w:rsidP="00FD7E60">
      <w:pPr>
        <w:pStyle w:val="NormalWeb"/>
        <w:spacing w:before="0" w:beforeAutospacing="0" w:after="0" w:afterAutospacing="0"/>
        <w:rPr>
          <w:color w:val="000000"/>
        </w:rPr>
      </w:pPr>
    </w:p>
    <w:p w14:paraId="53E68F36" w14:textId="4CD14063" w:rsidR="00F95515" w:rsidRDefault="00F95515" w:rsidP="00FD7E60">
      <w:pPr>
        <w:pStyle w:val="NormalWeb"/>
        <w:spacing w:before="0" w:beforeAutospacing="0" w:after="0" w:afterAutospacing="0"/>
        <w:rPr>
          <w:b/>
          <w:bCs/>
          <w:i/>
          <w:iCs/>
          <w:color w:val="000000"/>
        </w:rPr>
      </w:pPr>
      <w:r w:rsidRPr="00F95515">
        <w:rPr>
          <w:b/>
          <w:bCs/>
          <w:i/>
          <w:iCs/>
          <w:color w:val="000000"/>
        </w:rPr>
        <w:t xml:space="preserve">Award Discussion and Vote: </w:t>
      </w:r>
    </w:p>
    <w:p w14:paraId="129FF6A0" w14:textId="1DC517BE" w:rsidR="00902B4C" w:rsidRDefault="00902B4C" w:rsidP="00FD7E60">
      <w:pPr>
        <w:pStyle w:val="NormalWeb"/>
        <w:spacing w:before="0" w:beforeAutospacing="0" w:after="0" w:afterAutospacing="0"/>
        <w:rPr>
          <w:b/>
          <w:bCs/>
          <w:i/>
          <w:iCs/>
          <w:color w:val="000000"/>
        </w:rPr>
      </w:pPr>
    </w:p>
    <w:p w14:paraId="2D2C8FAB" w14:textId="550FA75F" w:rsidR="00902B4C" w:rsidRDefault="001B4E71" w:rsidP="00FD7E60">
      <w:pPr>
        <w:pStyle w:val="NormalWeb"/>
        <w:spacing w:before="0" w:beforeAutospacing="0" w:after="0" w:afterAutospacing="0"/>
        <w:rPr>
          <w:iCs/>
          <w:color w:val="000000"/>
        </w:rPr>
      </w:pPr>
      <w:r>
        <w:rPr>
          <w:iCs/>
          <w:color w:val="000000"/>
        </w:rPr>
        <w:t>Commissioner Reynolds started the discussion by explaining that she had looked back at the last two years of awards, as well as the recent market value growth of the funds. She reminded the Commission that</w:t>
      </w:r>
      <w:r w:rsidR="00447FEF">
        <w:rPr>
          <w:iCs/>
          <w:color w:val="000000"/>
        </w:rPr>
        <w:t xml:space="preserve"> </w:t>
      </w:r>
      <w:r>
        <w:rPr>
          <w:iCs/>
          <w:color w:val="000000"/>
        </w:rPr>
        <w:t>th</w:t>
      </w:r>
      <w:r w:rsidR="00447FEF">
        <w:rPr>
          <w:iCs/>
          <w:color w:val="000000"/>
        </w:rPr>
        <w:t>e Commission</w:t>
      </w:r>
      <w:r>
        <w:rPr>
          <w:iCs/>
          <w:color w:val="000000"/>
        </w:rPr>
        <w:t xml:space="preserve"> </w:t>
      </w:r>
      <w:r w:rsidR="00447FEF">
        <w:rPr>
          <w:iCs/>
          <w:color w:val="000000"/>
        </w:rPr>
        <w:t xml:space="preserve">traditionally </w:t>
      </w:r>
      <w:r>
        <w:rPr>
          <w:iCs/>
          <w:color w:val="000000"/>
        </w:rPr>
        <w:t>use</w:t>
      </w:r>
      <w:r w:rsidR="00447FEF">
        <w:rPr>
          <w:iCs/>
          <w:color w:val="000000"/>
        </w:rPr>
        <w:t>s</w:t>
      </w:r>
      <w:r>
        <w:rPr>
          <w:iCs/>
          <w:color w:val="000000"/>
        </w:rPr>
        <w:t xml:space="preserve"> 12-month returns to make the award decisions, or in poor market conditions, </w:t>
      </w:r>
      <w:r w:rsidR="00447FEF">
        <w:rPr>
          <w:iCs/>
          <w:color w:val="000000"/>
        </w:rPr>
        <w:t xml:space="preserve">it uses </w:t>
      </w:r>
      <w:r>
        <w:rPr>
          <w:iCs/>
          <w:color w:val="000000"/>
        </w:rPr>
        <w:t xml:space="preserve">3% of the expendable balance. The market has performed well lately, so the instinct would be to use the 12-month returns. However, even in comparing June to September figures, there is such a significant increase that, Commissioner Reynolds suggests, it may be prudent to use a figure less than the 12-month return. Even half of the 12-month return for each fund is more than the award from each fund in the last two years. Making a conservative award might help protect the fund from the chance of a near-future downturn. </w:t>
      </w:r>
      <w:r w:rsidR="00447FEF">
        <w:rPr>
          <w:iCs/>
          <w:color w:val="000000"/>
        </w:rPr>
        <w:t>Ms. Persson Reilly from the DCH had past numbers on hand, and</w:t>
      </w:r>
      <w:r w:rsidR="004422A2">
        <w:rPr>
          <w:iCs/>
          <w:color w:val="000000"/>
        </w:rPr>
        <w:t xml:space="preserve"> added that awards in the last two years were significantly lower than the years leading up to that, so it may be helpful to look beyond two years for award trends. In 2013, for example, the Commission awarded DCH $9,170 from the Shuttleworth Fund and $900 from the </w:t>
      </w:r>
      <w:proofErr w:type="spellStart"/>
      <w:r w:rsidR="004422A2">
        <w:rPr>
          <w:iCs/>
          <w:color w:val="000000"/>
        </w:rPr>
        <w:t>McQuillen</w:t>
      </w:r>
      <w:proofErr w:type="spellEnd"/>
      <w:r w:rsidR="004422A2">
        <w:rPr>
          <w:iCs/>
          <w:color w:val="000000"/>
        </w:rPr>
        <w:t xml:space="preserve"> Fund, compared with $2,470 and $355, respectively, in 2018. Commissioner Reynolds expressed appreciation of this context. </w:t>
      </w:r>
    </w:p>
    <w:p w14:paraId="3AEEC157" w14:textId="747BEED5" w:rsidR="001B4E71" w:rsidRDefault="001B4E71" w:rsidP="00FD7E60">
      <w:pPr>
        <w:pStyle w:val="NormalWeb"/>
        <w:spacing w:before="0" w:beforeAutospacing="0" w:after="0" w:afterAutospacing="0"/>
        <w:rPr>
          <w:iCs/>
          <w:color w:val="000000"/>
        </w:rPr>
      </w:pPr>
    </w:p>
    <w:p w14:paraId="5186657A" w14:textId="15CDE4B4" w:rsidR="001B4E71" w:rsidRPr="001B4E71" w:rsidRDefault="001B4E71" w:rsidP="00FD7E60">
      <w:pPr>
        <w:pStyle w:val="NormalWeb"/>
        <w:spacing w:before="0" w:beforeAutospacing="0" w:after="0" w:afterAutospacing="0"/>
        <w:rPr>
          <w:iCs/>
          <w:color w:val="000000"/>
        </w:rPr>
      </w:pPr>
      <w:r>
        <w:rPr>
          <w:iCs/>
          <w:color w:val="000000"/>
        </w:rPr>
        <w:t xml:space="preserve">It should be noted that the Commission </w:t>
      </w:r>
      <w:r w:rsidR="004422A2">
        <w:rPr>
          <w:iCs/>
          <w:color w:val="000000"/>
        </w:rPr>
        <w:t xml:space="preserve">decided to use </w:t>
      </w:r>
      <w:r>
        <w:rPr>
          <w:iCs/>
          <w:color w:val="000000"/>
        </w:rPr>
        <w:t xml:space="preserve">the Rockland Trust statement from September 30, 2019 to make award determinations. The October statement, distributed at the start of the meeting, appeared to have incorrect or incomplete information. </w:t>
      </w:r>
      <w:r w:rsidR="000D467A">
        <w:rPr>
          <w:iCs/>
          <w:color w:val="000000"/>
        </w:rPr>
        <w:t>Treasurer</w:t>
      </w:r>
      <w:r>
        <w:rPr>
          <w:iCs/>
          <w:color w:val="000000"/>
        </w:rPr>
        <w:t xml:space="preserve"> </w:t>
      </w:r>
      <w:proofErr w:type="spellStart"/>
      <w:r>
        <w:rPr>
          <w:iCs/>
          <w:color w:val="000000"/>
        </w:rPr>
        <w:t>Lepardo</w:t>
      </w:r>
      <w:proofErr w:type="spellEnd"/>
      <w:r>
        <w:rPr>
          <w:iCs/>
          <w:color w:val="000000"/>
        </w:rPr>
        <w:t xml:space="preserve"> will inquire about the </w:t>
      </w:r>
      <w:r w:rsidR="004422A2">
        <w:rPr>
          <w:iCs/>
          <w:color w:val="000000"/>
        </w:rPr>
        <w:t xml:space="preserve">incorrect </w:t>
      </w:r>
      <w:r>
        <w:rPr>
          <w:iCs/>
          <w:color w:val="000000"/>
        </w:rPr>
        <w:t>12-month and 24-month return columns with Rockland</w:t>
      </w:r>
      <w:r w:rsidR="004422A2">
        <w:rPr>
          <w:iCs/>
          <w:color w:val="000000"/>
        </w:rPr>
        <w:t xml:space="preserve"> Trust</w:t>
      </w:r>
      <w:r>
        <w:rPr>
          <w:iCs/>
          <w:color w:val="000000"/>
        </w:rPr>
        <w:t xml:space="preserve">. </w:t>
      </w:r>
    </w:p>
    <w:p w14:paraId="45FF56C1" w14:textId="6FB0175B" w:rsidR="00F95515" w:rsidRDefault="00F95515" w:rsidP="00FD7E60">
      <w:pPr>
        <w:pStyle w:val="NormalWeb"/>
        <w:spacing w:before="0" w:beforeAutospacing="0" w:after="0" w:afterAutospacing="0"/>
        <w:rPr>
          <w:color w:val="000000"/>
          <w:highlight w:val="yellow"/>
        </w:rPr>
      </w:pPr>
    </w:p>
    <w:p w14:paraId="5C3F4C8F" w14:textId="52937F67" w:rsidR="00056971" w:rsidRDefault="00056971" w:rsidP="00056971">
      <w:pPr>
        <w:pStyle w:val="NormalWeb"/>
        <w:spacing w:before="0" w:beforeAutospacing="0" w:after="0" w:afterAutospacing="0"/>
        <w:rPr>
          <w:color w:val="000000"/>
        </w:rPr>
      </w:pPr>
      <w:r w:rsidRPr="007402C3">
        <w:rPr>
          <w:color w:val="000000"/>
        </w:rPr>
        <w:t xml:space="preserve">Commissioner </w:t>
      </w:r>
      <w:r>
        <w:rPr>
          <w:color w:val="000000"/>
        </w:rPr>
        <w:t>Spada</w:t>
      </w:r>
      <w:r w:rsidR="001B4E71">
        <w:rPr>
          <w:color w:val="000000"/>
        </w:rPr>
        <w:t xml:space="preserve"> suggested generally to award one-half of the 12-month return figures for each fund, and first</w:t>
      </w:r>
      <w:r w:rsidRPr="007402C3">
        <w:rPr>
          <w:color w:val="000000"/>
        </w:rPr>
        <w:t xml:space="preserve"> moved that </w:t>
      </w:r>
      <w:r>
        <w:rPr>
          <w:color w:val="000000"/>
        </w:rPr>
        <w:t xml:space="preserve">$10,700 be awarded from the </w:t>
      </w:r>
      <w:proofErr w:type="spellStart"/>
      <w:r>
        <w:rPr>
          <w:color w:val="000000"/>
        </w:rPr>
        <w:t>Capen</w:t>
      </w:r>
      <w:proofErr w:type="spellEnd"/>
      <w:r>
        <w:rPr>
          <w:color w:val="000000"/>
        </w:rPr>
        <w:t xml:space="preserve"> Funds, combined. Commissioner Reynolds clarified that there should be two motions, one for each </w:t>
      </w:r>
      <w:r w:rsidR="001B4E71">
        <w:rPr>
          <w:color w:val="000000"/>
        </w:rPr>
        <w:t xml:space="preserve">the Elizabeth </w:t>
      </w:r>
      <w:proofErr w:type="spellStart"/>
      <w:r w:rsidR="001B4E71">
        <w:rPr>
          <w:color w:val="000000"/>
        </w:rPr>
        <w:t>Capen</w:t>
      </w:r>
      <w:proofErr w:type="spellEnd"/>
      <w:r w:rsidR="001B4E71">
        <w:rPr>
          <w:color w:val="000000"/>
        </w:rPr>
        <w:t xml:space="preserve"> Fund and the Calvin </w:t>
      </w:r>
      <w:proofErr w:type="spellStart"/>
      <w:r w:rsidR="001B4E71">
        <w:rPr>
          <w:color w:val="000000"/>
        </w:rPr>
        <w:t>Capen</w:t>
      </w:r>
      <w:proofErr w:type="spellEnd"/>
      <w:r w:rsidR="001B4E71">
        <w:rPr>
          <w:color w:val="000000"/>
        </w:rPr>
        <w:t xml:space="preserve"> Fund</w:t>
      </w:r>
      <w:r>
        <w:rPr>
          <w:color w:val="000000"/>
        </w:rPr>
        <w:t xml:space="preserve">. Commissioner Spada amended the motion, first moving to award $10,250 from the Elizabeth </w:t>
      </w:r>
      <w:proofErr w:type="spellStart"/>
      <w:r>
        <w:rPr>
          <w:color w:val="000000"/>
        </w:rPr>
        <w:t>Capen</w:t>
      </w:r>
      <w:proofErr w:type="spellEnd"/>
      <w:r>
        <w:rPr>
          <w:color w:val="000000"/>
        </w:rPr>
        <w:t xml:space="preserve"> Fund</w:t>
      </w:r>
      <w:r w:rsidR="00EA4A26">
        <w:rPr>
          <w:color w:val="000000"/>
        </w:rPr>
        <w:t xml:space="preserve"> in support of the VNA</w:t>
      </w:r>
      <w:r>
        <w:rPr>
          <w:color w:val="000000"/>
        </w:rPr>
        <w:t xml:space="preserve">. The motion, as amended, was adopted by general consent. Commissioner Spada </w:t>
      </w:r>
      <w:r w:rsidRPr="00261934">
        <w:rPr>
          <w:color w:val="000000"/>
        </w:rPr>
        <w:t xml:space="preserve">moved to award $200 from the Calvin </w:t>
      </w:r>
      <w:proofErr w:type="spellStart"/>
      <w:r w:rsidRPr="00261934">
        <w:rPr>
          <w:color w:val="000000"/>
        </w:rPr>
        <w:t>Capen</w:t>
      </w:r>
      <w:proofErr w:type="spellEnd"/>
      <w:r w:rsidRPr="00261934">
        <w:rPr>
          <w:color w:val="000000"/>
        </w:rPr>
        <w:t xml:space="preserve"> Fund, in support of the VNA. The motion, as amended, was adopted by general consent.</w:t>
      </w:r>
      <w:r w:rsidRPr="009D408F">
        <w:rPr>
          <w:color w:val="000000"/>
        </w:rPr>
        <w:t xml:space="preserve"> </w:t>
      </w:r>
    </w:p>
    <w:p w14:paraId="6CD0CEDD" w14:textId="77777777" w:rsidR="00F95515" w:rsidRDefault="00F95515" w:rsidP="00F95515">
      <w:pPr>
        <w:pStyle w:val="NormalWeb"/>
        <w:spacing w:before="0" w:beforeAutospacing="0" w:after="0" w:afterAutospacing="0"/>
        <w:rPr>
          <w:color w:val="000000"/>
        </w:rPr>
      </w:pPr>
    </w:p>
    <w:p w14:paraId="6FE4887A" w14:textId="22D24E90" w:rsidR="00F95515" w:rsidRDefault="00F95515" w:rsidP="00F95515">
      <w:pPr>
        <w:pStyle w:val="NormalWeb"/>
        <w:spacing w:before="0" w:beforeAutospacing="0" w:after="0" w:afterAutospacing="0"/>
        <w:rPr>
          <w:color w:val="000000"/>
        </w:rPr>
      </w:pPr>
      <w:r>
        <w:rPr>
          <w:color w:val="000000"/>
        </w:rPr>
        <w:t xml:space="preserve">Commissioner Spada moved that $675 be awarded from the James </w:t>
      </w:r>
      <w:proofErr w:type="spellStart"/>
      <w:r>
        <w:rPr>
          <w:color w:val="000000"/>
        </w:rPr>
        <w:t>Foord</w:t>
      </w:r>
      <w:proofErr w:type="spellEnd"/>
      <w:r>
        <w:rPr>
          <w:color w:val="000000"/>
        </w:rPr>
        <w:t xml:space="preserve"> Fund</w:t>
      </w:r>
      <w:r w:rsidR="005427F4">
        <w:rPr>
          <w:color w:val="000000"/>
        </w:rPr>
        <w:t>, representing approximately one-half of the 12-month return</w:t>
      </w:r>
      <w:r>
        <w:rPr>
          <w:color w:val="000000"/>
        </w:rPr>
        <w:t xml:space="preserve">, divided equally among the three organizations, </w:t>
      </w:r>
      <w:r w:rsidR="005427F4">
        <w:rPr>
          <w:color w:val="000000"/>
        </w:rPr>
        <w:t xml:space="preserve">as it was last year, </w:t>
      </w:r>
      <w:r>
        <w:rPr>
          <w:color w:val="000000"/>
        </w:rPr>
        <w:t>for an award of $225</w:t>
      </w:r>
      <w:r w:rsidR="00056971">
        <w:rPr>
          <w:color w:val="000000"/>
        </w:rPr>
        <w:t xml:space="preserve"> for the</w:t>
      </w:r>
      <w:r>
        <w:rPr>
          <w:color w:val="000000"/>
        </w:rPr>
        <w:t xml:space="preserve"> VNA</w:t>
      </w:r>
      <w:r w:rsidR="00056971">
        <w:rPr>
          <w:color w:val="000000"/>
        </w:rPr>
        <w:t>, $225 for the YMCA, and $225 for the DCH</w:t>
      </w:r>
      <w:r>
        <w:rPr>
          <w:color w:val="000000"/>
        </w:rPr>
        <w:t xml:space="preserve">. </w:t>
      </w:r>
      <w:r w:rsidR="005427F4">
        <w:rPr>
          <w:color w:val="000000"/>
        </w:rPr>
        <w:t xml:space="preserve">The motion was adopted by general consent. </w:t>
      </w:r>
    </w:p>
    <w:p w14:paraId="59AA9526" w14:textId="77777777" w:rsidR="00FD7E60" w:rsidRPr="00FD7E60" w:rsidRDefault="00FD7E60" w:rsidP="00FD7E60">
      <w:pPr>
        <w:pStyle w:val="NormalWeb"/>
        <w:spacing w:before="0" w:beforeAutospacing="0" w:after="0" w:afterAutospacing="0"/>
        <w:rPr>
          <w:color w:val="000000"/>
          <w:highlight w:val="yellow"/>
        </w:rPr>
      </w:pPr>
    </w:p>
    <w:p w14:paraId="0028A5FB" w14:textId="0431B729" w:rsidR="00FD7E60" w:rsidRPr="007402C3" w:rsidRDefault="00FD7E60" w:rsidP="00FD7E60">
      <w:pPr>
        <w:pStyle w:val="NormalWeb"/>
        <w:spacing w:before="0" w:beforeAutospacing="0" w:after="0" w:afterAutospacing="0"/>
        <w:rPr>
          <w:color w:val="000000"/>
        </w:rPr>
      </w:pPr>
      <w:r w:rsidRPr="007402C3">
        <w:rPr>
          <w:color w:val="000000"/>
        </w:rPr>
        <w:t xml:space="preserve">Commissioner </w:t>
      </w:r>
      <w:r w:rsidR="007402C3" w:rsidRPr="007402C3">
        <w:rPr>
          <w:color w:val="000000"/>
        </w:rPr>
        <w:t>Spada</w:t>
      </w:r>
      <w:r w:rsidRPr="007402C3">
        <w:rPr>
          <w:color w:val="000000"/>
        </w:rPr>
        <w:t xml:space="preserve"> moved that $</w:t>
      </w:r>
      <w:r w:rsidR="007402C3" w:rsidRPr="007402C3">
        <w:rPr>
          <w:color w:val="000000"/>
        </w:rPr>
        <w:t>825</w:t>
      </w:r>
      <w:r w:rsidR="005427F4">
        <w:rPr>
          <w:color w:val="000000"/>
        </w:rPr>
        <w:t>, representing approximately one-half of the 12-month return,</w:t>
      </w:r>
      <w:r w:rsidRPr="007402C3">
        <w:rPr>
          <w:color w:val="000000"/>
        </w:rPr>
        <w:t xml:space="preserve"> be awarded from the Hugh and Elizabeth </w:t>
      </w:r>
      <w:proofErr w:type="spellStart"/>
      <w:r w:rsidRPr="007402C3">
        <w:rPr>
          <w:color w:val="000000"/>
        </w:rPr>
        <w:t>McQuillen</w:t>
      </w:r>
      <w:proofErr w:type="spellEnd"/>
      <w:r w:rsidRPr="007402C3">
        <w:rPr>
          <w:color w:val="000000"/>
        </w:rPr>
        <w:t xml:space="preserve"> Fund for the purposes of supporting DCH. The motion was adopted by general consent.</w:t>
      </w:r>
    </w:p>
    <w:p w14:paraId="086C07D1" w14:textId="77777777" w:rsidR="007402C3" w:rsidRDefault="007402C3" w:rsidP="00FD7E60">
      <w:pPr>
        <w:pStyle w:val="NormalWeb"/>
        <w:spacing w:before="0" w:beforeAutospacing="0" w:after="0" w:afterAutospacing="0"/>
        <w:rPr>
          <w:color w:val="000000"/>
        </w:rPr>
      </w:pPr>
    </w:p>
    <w:p w14:paraId="13DE90BB" w14:textId="0034E8D2" w:rsidR="00056971" w:rsidRDefault="00056971" w:rsidP="00056971">
      <w:pPr>
        <w:pStyle w:val="NormalWeb"/>
        <w:spacing w:before="0" w:beforeAutospacing="0" w:after="0" w:afterAutospacing="0"/>
        <w:rPr>
          <w:color w:val="000000"/>
        </w:rPr>
      </w:pPr>
      <w:r w:rsidRPr="007402C3">
        <w:rPr>
          <w:color w:val="000000"/>
        </w:rPr>
        <w:t xml:space="preserve">Commissioner Spada moved to award a total of $11,650 from the Hannah Shuttleworth Fund, </w:t>
      </w:r>
      <w:r w:rsidR="005427F4">
        <w:rPr>
          <w:color w:val="000000"/>
        </w:rPr>
        <w:t xml:space="preserve">representing approximately one-half of the 12-month return, </w:t>
      </w:r>
      <w:r w:rsidRPr="007402C3">
        <w:rPr>
          <w:color w:val="000000"/>
        </w:rPr>
        <w:t>giving 45% of that amount to the YMCA and 55% to the DCH. Commissioner Reynolds, upon doing the math (where the awards would be $5,242 and $6,407 respectively), amended the motion to award $5,250 to the YMCA and $6,500 to the DCH, for a total of $11,750 from the Shuttleworth Fund. The motion</w:t>
      </w:r>
      <w:r w:rsidR="00634FA7">
        <w:rPr>
          <w:color w:val="000000"/>
        </w:rPr>
        <w:t>, as amended,</w:t>
      </w:r>
      <w:r w:rsidRPr="007402C3">
        <w:rPr>
          <w:color w:val="000000"/>
        </w:rPr>
        <w:t xml:space="preserve"> was adopted by general consent.</w:t>
      </w:r>
    </w:p>
    <w:p w14:paraId="0050AF2B" w14:textId="3A4F6E63" w:rsidR="00FD7E60" w:rsidRDefault="00FD7E60" w:rsidP="00FD7E60">
      <w:pPr>
        <w:pStyle w:val="NormalWeb"/>
        <w:spacing w:before="0" w:beforeAutospacing="0" w:after="0" w:afterAutospacing="0"/>
        <w:rPr>
          <w:color w:val="000000"/>
        </w:rPr>
      </w:pPr>
    </w:p>
    <w:p w14:paraId="144AA283" w14:textId="4C6904B4" w:rsidR="007402C3" w:rsidRPr="007402C3" w:rsidRDefault="007402C3" w:rsidP="00FD7E60">
      <w:pPr>
        <w:pStyle w:val="NormalWeb"/>
        <w:spacing w:before="0" w:beforeAutospacing="0" w:after="0" w:afterAutospacing="0"/>
        <w:rPr>
          <w:b/>
          <w:bCs/>
          <w:i/>
          <w:iCs/>
          <w:color w:val="000000"/>
        </w:rPr>
      </w:pPr>
      <w:r w:rsidRPr="007402C3">
        <w:rPr>
          <w:b/>
          <w:bCs/>
          <w:i/>
          <w:iCs/>
          <w:color w:val="000000"/>
        </w:rPr>
        <w:t>Summary of Award</w:t>
      </w:r>
      <w:r w:rsidR="00261934">
        <w:rPr>
          <w:b/>
          <w:bCs/>
          <w:i/>
          <w:iCs/>
          <w:color w:val="000000"/>
        </w:rPr>
        <w:t xml:space="preserve"> Amounts</w:t>
      </w:r>
      <w:r w:rsidRPr="007402C3">
        <w:rPr>
          <w:b/>
          <w:bCs/>
          <w:i/>
          <w:iCs/>
          <w:color w:val="000000"/>
        </w:rPr>
        <w:t xml:space="preserve">: </w:t>
      </w:r>
    </w:p>
    <w:p w14:paraId="46830BF2" w14:textId="60B4C1CF" w:rsidR="007402C3" w:rsidRDefault="007402C3" w:rsidP="00FD7E60">
      <w:pPr>
        <w:pStyle w:val="NormalWeb"/>
        <w:spacing w:before="0" w:beforeAutospacing="0" w:after="0" w:afterAutospacing="0"/>
        <w:rPr>
          <w:color w:val="000000"/>
        </w:rPr>
      </w:pPr>
    </w:p>
    <w:tbl>
      <w:tblPr>
        <w:tblStyle w:val="TableGrid"/>
        <w:tblW w:w="891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169"/>
        <w:gridCol w:w="1290"/>
        <w:gridCol w:w="1290"/>
        <w:gridCol w:w="1291"/>
      </w:tblGrid>
      <w:tr w:rsidR="002262B8" w14:paraId="03A4CCE0" w14:textId="1B42F7DD" w:rsidTr="00F458BF">
        <w:tc>
          <w:tcPr>
            <w:tcW w:w="3870" w:type="dxa"/>
          </w:tcPr>
          <w:p w14:paraId="5A06CEA1" w14:textId="77777777" w:rsidR="002262B8" w:rsidRDefault="002262B8" w:rsidP="007402C3">
            <w:pPr>
              <w:pStyle w:val="NormalWeb"/>
              <w:spacing w:before="0" w:beforeAutospacing="0" w:after="0" w:afterAutospacing="0"/>
              <w:rPr>
                <w:color w:val="000000"/>
              </w:rPr>
            </w:pPr>
          </w:p>
        </w:tc>
        <w:tc>
          <w:tcPr>
            <w:tcW w:w="1169" w:type="dxa"/>
          </w:tcPr>
          <w:p w14:paraId="5231DC04" w14:textId="686979D6" w:rsidR="002262B8" w:rsidRPr="007402C3" w:rsidRDefault="002262B8" w:rsidP="002262B8">
            <w:pPr>
              <w:pStyle w:val="NormalWeb"/>
              <w:spacing w:before="0" w:beforeAutospacing="0" w:after="0" w:afterAutospacing="0"/>
              <w:jc w:val="right"/>
              <w:rPr>
                <w:color w:val="000000"/>
                <w:u w:val="single"/>
              </w:rPr>
            </w:pPr>
            <w:r w:rsidRPr="007402C3">
              <w:rPr>
                <w:color w:val="000000"/>
                <w:u w:val="single"/>
              </w:rPr>
              <w:t>YMCA</w:t>
            </w:r>
          </w:p>
        </w:tc>
        <w:tc>
          <w:tcPr>
            <w:tcW w:w="1290" w:type="dxa"/>
          </w:tcPr>
          <w:p w14:paraId="5DD26403" w14:textId="2224681B" w:rsidR="002262B8" w:rsidRPr="007402C3" w:rsidRDefault="002262B8" w:rsidP="002262B8">
            <w:pPr>
              <w:pStyle w:val="NormalWeb"/>
              <w:spacing w:before="0" w:beforeAutospacing="0" w:after="0" w:afterAutospacing="0"/>
              <w:jc w:val="right"/>
              <w:rPr>
                <w:color w:val="000000"/>
                <w:u w:val="single"/>
              </w:rPr>
            </w:pPr>
            <w:r w:rsidRPr="007402C3">
              <w:rPr>
                <w:color w:val="000000"/>
                <w:u w:val="single"/>
              </w:rPr>
              <w:t>VNA</w:t>
            </w:r>
          </w:p>
        </w:tc>
        <w:tc>
          <w:tcPr>
            <w:tcW w:w="1290" w:type="dxa"/>
          </w:tcPr>
          <w:p w14:paraId="6B53A9C5" w14:textId="0EB67F17" w:rsidR="002262B8" w:rsidRPr="007402C3" w:rsidRDefault="002262B8" w:rsidP="002262B8">
            <w:pPr>
              <w:pStyle w:val="NormalWeb"/>
              <w:spacing w:before="0" w:beforeAutospacing="0" w:after="0" w:afterAutospacing="0"/>
              <w:jc w:val="right"/>
              <w:rPr>
                <w:color w:val="000000"/>
                <w:u w:val="single"/>
              </w:rPr>
            </w:pPr>
            <w:r w:rsidRPr="007402C3">
              <w:rPr>
                <w:color w:val="000000"/>
                <w:u w:val="single"/>
              </w:rPr>
              <w:t>DCH</w:t>
            </w:r>
          </w:p>
        </w:tc>
        <w:tc>
          <w:tcPr>
            <w:tcW w:w="1291" w:type="dxa"/>
          </w:tcPr>
          <w:p w14:paraId="732B9467" w14:textId="2C803B99" w:rsidR="002262B8" w:rsidRPr="007402C3" w:rsidRDefault="002262B8" w:rsidP="002262B8">
            <w:pPr>
              <w:pStyle w:val="NormalWeb"/>
              <w:spacing w:before="0" w:beforeAutospacing="0" w:after="0" w:afterAutospacing="0"/>
              <w:jc w:val="right"/>
              <w:rPr>
                <w:color w:val="000000"/>
                <w:u w:val="single"/>
              </w:rPr>
            </w:pPr>
            <w:r>
              <w:rPr>
                <w:color w:val="000000"/>
                <w:u w:val="single"/>
              </w:rPr>
              <w:t>TOTAL</w:t>
            </w:r>
          </w:p>
        </w:tc>
      </w:tr>
      <w:tr w:rsidR="002262B8" w14:paraId="1FD9B095" w14:textId="69E91951" w:rsidTr="00F458BF">
        <w:tc>
          <w:tcPr>
            <w:tcW w:w="3870" w:type="dxa"/>
          </w:tcPr>
          <w:p w14:paraId="2459C3D0" w14:textId="3173F244" w:rsidR="002262B8" w:rsidRDefault="002262B8" w:rsidP="00FD7E60">
            <w:pPr>
              <w:pStyle w:val="NormalWeb"/>
              <w:spacing w:before="0" w:beforeAutospacing="0" w:after="0" w:afterAutospacing="0"/>
              <w:rPr>
                <w:color w:val="000000"/>
              </w:rPr>
            </w:pPr>
            <w:r>
              <w:rPr>
                <w:color w:val="000000"/>
              </w:rPr>
              <w:t xml:space="preserve">Calvin </w:t>
            </w:r>
            <w:proofErr w:type="spellStart"/>
            <w:r>
              <w:rPr>
                <w:color w:val="000000"/>
              </w:rPr>
              <w:t>Capen</w:t>
            </w:r>
            <w:proofErr w:type="spellEnd"/>
            <w:r>
              <w:rPr>
                <w:color w:val="000000"/>
              </w:rPr>
              <w:t xml:space="preserve"> Fund</w:t>
            </w:r>
          </w:p>
        </w:tc>
        <w:tc>
          <w:tcPr>
            <w:tcW w:w="1169" w:type="dxa"/>
          </w:tcPr>
          <w:p w14:paraId="22B9D61C" w14:textId="07082415" w:rsidR="002262B8" w:rsidRDefault="002262B8" w:rsidP="002262B8">
            <w:pPr>
              <w:pStyle w:val="NormalWeb"/>
              <w:spacing w:before="0" w:beforeAutospacing="0" w:after="0" w:afterAutospacing="0"/>
              <w:jc w:val="right"/>
              <w:rPr>
                <w:color w:val="000000"/>
              </w:rPr>
            </w:pPr>
          </w:p>
        </w:tc>
        <w:tc>
          <w:tcPr>
            <w:tcW w:w="1290" w:type="dxa"/>
          </w:tcPr>
          <w:p w14:paraId="4E57B7F4" w14:textId="5B6D5B36" w:rsidR="002262B8" w:rsidRDefault="002262B8" w:rsidP="002262B8">
            <w:pPr>
              <w:pStyle w:val="NormalWeb"/>
              <w:spacing w:before="0" w:beforeAutospacing="0" w:after="0" w:afterAutospacing="0"/>
              <w:jc w:val="right"/>
              <w:rPr>
                <w:color w:val="000000"/>
              </w:rPr>
            </w:pPr>
            <w:r>
              <w:rPr>
                <w:color w:val="000000"/>
              </w:rPr>
              <w:t>$200</w:t>
            </w:r>
          </w:p>
        </w:tc>
        <w:tc>
          <w:tcPr>
            <w:tcW w:w="1290" w:type="dxa"/>
          </w:tcPr>
          <w:p w14:paraId="1638E5EF" w14:textId="77777777" w:rsidR="002262B8" w:rsidRDefault="002262B8" w:rsidP="002262B8">
            <w:pPr>
              <w:pStyle w:val="NormalWeb"/>
              <w:spacing w:before="0" w:beforeAutospacing="0" w:after="0" w:afterAutospacing="0"/>
              <w:jc w:val="right"/>
              <w:rPr>
                <w:color w:val="000000"/>
              </w:rPr>
            </w:pPr>
          </w:p>
        </w:tc>
        <w:tc>
          <w:tcPr>
            <w:tcW w:w="1291" w:type="dxa"/>
          </w:tcPr>
          <w:p w14:paraId="2E7D39D4" w14:textId="71E662BF" w:rsidR="002262B8" w:rsidRDefault="002262B8" w:rsidP="002262B8">
            <w:pPr>
              <w:pStyle w:val="NormalWeb"/>
              <w:spacing w:before="0" w:beforeAutospacing="0" w:after="0" w:afterAutospacing="0"/>
              <w:jc w:val="right"/>
              <w:rPr>
                <w:color w:val="000000"/>
              </w:rPr>
            </w:pPr>
            <w:r>
              <w:rPr>
                <w:color w:val="000000"/>
              </w:rPr>
              <w:t>$200</w:t>
            </w:r>
          </w:p>
        </w:tc>
      </w:tr>
      <w:tr w:rsidR="002262B8" w14:paraId="0DC5B5F8" w14:textId="15204818" w:rsidTr="00F458BF">
        <w:tc>
          <w:tcPr>
            <w:tcW w:w="3870" w:type="dxa"/>
          </w:tcPr>
          <w:p w14:paraId="7D5804CA" w14:textId="782083EA" w:rsidR="002262B8" w:rsidRDefault="002262B8" w:rsidP="00FD7E60">
            <w:pPr>
              <w:pStyle w:val="NormalWeb"/>
              <w:spacing w:before="0" w:beforeAutospacing="0" w:after="0" w:afterAutospacing="0"/>
              <w:rPr>
                <w:color w:val="000000"/>
              </w:rPr>
            </w:pPr>
            <w:r>
              <w:rPr>
                <w:color w:val="000000"/>
              </w:rPr>
              <w:t xml:space="preserve">Elizabeth </w:t>
            </w:r>
            <w:proofErr w:type="spellStart"/>
            <w:r>
              <w:rPr>
                <w:color w:val="000000"/>
              </w:rPr>
              <w:t>Capen</w:t>
            </w:r>
            <w:proofErr w:type="spellEnd"/>
            <w:r>
              <w:rPr>
                <w:color w:val="000000"/>
              </w:rPr>
              <w:t xml:space="preserve"> Fund </w:t>
            </w:r>
          </w:p>
        </w:tc>
        <w:tc>
          <w:tcPr>
            <w:tcW w:w="1169" w:type="dxa"/>
          </w:tcPr>
          <w:p w14:paraId="34BCB038" w14:textId="77777777" w:rsidR="002262B8" w:rsidRDefault="002262B8" w:rsidP="002262B8">
            <w:pPr>
              <w:pStyle w:val="NormalWeb"/>
              <w:spacing w:before="0" w:beforeAutospacing="0" w:after="0" w:afterAutospacing="0"/>
              <w:jc w:val="right"/>
              <w:rPr>
                <w:color w:val="000000"/>
              </w:rPr>
            </w:pPr>
          </w:p>
        </w:tc>
        <w:tc>
          <w:tcPr>
            <w:tcW w:w="1290" w:type="dxa"/>
          </w:tcPr>
          <w:p w14:paraId="45C1317B" w14:textId="799F4276" w:rsidR="002262B8" w:rsidRDefault="002262B8" w:rsidP="002262B8">
            <w:pPr>
              <w:pStyle w:val="NormalWeb"/>
              <w:spacing w:before="0" w:beforeAutospacing="0" w:after="0" w:afterAutospacing="0"/>
              <w:jc w:val="right"/>
              <w:rPr>
                <w:color w:val="000000"/>
              </w:rPr>
            </w:pPr>
            <w:r>
              <w:rPr>
                <w:color w:val="000000"/>
              </w:rPr>
              <w:t>$10,250</w:t>
            </w:r>
          </w:p>
        </w:tc>
        <w:tc>
          <w:tcPr>
            <w:tcW w:w="1290" w:type="dxa"/>
          </w:tcPr>
          <w:p w14:paraId="1F940D0F" w14:textId="77777777" w:rsidR="002262B8" w:rsidRDefault="002262B8" w:rsidP="002262B8">
            <w:pPr>
              <w:pStyle w:val="NormalWeb"/>
              <w:spacing w:before="0" w:beforeAutospacing="0" w:after="0" w:afterAutospacing="0"/>
              <w:jc w:val="right"/>
              <w:rPr>
                <w:color w:val="000000"/>
              </w:rPr>
            </w:pPr>
          </w:p>
        </w:tc>
        <w:tc>
          <w:tcPr>
            <w:tcW w:w="1291" w:type="dxa"/>
          </w:tcPr>
          <w:p w14:paraId="127A7E8A" w14:textId="5FD728CC" w:rsidR="002262B8" w:rsidRDefault="002262B8" w:rsidP="002262B8">
            <w:pPr>
              <w:pStyle w:val="NormalWeb"/>
              <w:spacing w:before="0" w:beforeAutospacing="0" w:after="0" w:afterAutospacing="0"/>
              <w:jc w:val="right"/>
              <w:rPr>
                <w:color w:val="000000"/>
              </w:rPr>
            </w:pPr>
            <w:r>
              <w:rPr>
                <w:color w:val="000000"/>
              </w:rPr>
              <w:t>$10,250</w:t>
            </w:r>
          </w:p>
        </w:tc>
      </w:tr>
      <w:tr w:rsidR="002262B8" w14:paraId="23819AC5" w14:textId="005521FE" w:rsidTr="00F458BF">
        <w:tc>
          <w:tcPr>
            <w:tcW w:w="3870" w:type="dxa"/>
          </w:tcPr>
          <w:p w14:paraId="74E2A370" w14:textId="12718EF6" w:rsidR="002262B8" w:rsidRDefault="002262B8" w:rsidP="00FD7E60">
            <w:pPr>
              <w:pStyle w:val="NormalWeb"/>
              <w:spacing w:before="0" w:beforeAutospacing="0" w:after="0" w:afterAutospacing="0"/>
              <w:rPr>
                <w:color w:val="000000"/>
              </w:rPr>
            </w:pPr>
            <w:r>
              <w:rPr>
                <w:color w:val="000000"/>
              </w:rPr>
              <w:t xml:space="preserve">James </w:t>
            </w:r>
            <w:proofErr w:type="spellStart"/>
            <w:r>
              <w:rPr>
                <w:color w:val="000000"/>
              </w:rPr>
              <w:t>Foord</w:t>
            </w:r>
            <w:proofErr w:type="spellEnd"/>
            <w:r>
              <w:rPr>
                <w:color w:val="000000"/>
              </w:rPr>
              <w:t xml:space="preserve"> Fund</w:t>
            </w:r>
          </w:p>
        </w:tc>
        <w:tc>
          <w:tcPr>
            <w:tcW w:w="1169" w:type="dxa"/>
          </w:tcPr>
          <w:p w14:paraId="35A4F04E" w14:textId="1A192994" w:rsidR="002262B8" w:rsidRDefault="002262B8" w:rsidP="002262B8">
            <w:pPr>
              <w:pStyle w:val="NormalWeb"/>
              <w:spacing w:before="0" w:beforeAutospacing="0" w:after="0" w:afterAutospacing="0"/>
              <w:jc w:val="right"/>
              <w:rPr>
                <w:color w:val="000000"/>
              </w:rPr>
            </w:pPr>
            <w:r>
              <w:rPr>
                <w:color w:val="000000"/>
              </w:rPr>
              <w:t>$225</w:t>
            </w:r>
          </w:p>
        </w:tc>
        <w:tc>
          <w:tcPr>
            <w:tcW w:w="1290" w:type="dxa"/>
          </w:tcPr>
          <w:p w14:paraId="13A3BA7A" w14:textId="74B5714F" w:rsidR="002262B8" w:rsidRDefault="002262B8" w:rsidP="002262B8">
            <w:pPr>
              <w:pStyle w:val="NormalWeb"/>
              <w:spacing w:before="0" w:beforeAutospacing="0" w:after="0" w:afterAutospacing="0"/>
              <w:jc w:val="right"/>
              <w:rPr>
                <w:color w:val="000000"/>
              </w:rPr>
            </w:pPr>
            <w:r>
              <w:rPr>
                <w:color w:val="000000"/>
              </w:rPr>
              <w:t>$225</w:t>
            </w:r>
          </w:p>
        </w:tc>
        <w:tc>
          <w:tcPr>
            <w:tcW w:w="1290" w:type="dxa"/>
          </w:tcPr>
          <w:p w14:paraId="0B35A181" w14:textId="1B041BE4" w:rsidR="002262B8" w:rsidRDefault="002262B8" w:rsidP="002262B8">
            <w:pPr>
              <w:pStyle w:val="NormalWeb"/>
              <w:spacing w:before="0" w:beforeAutospacing="0" w:after="0" w:afterAutospacing="0"/>
              <w:jc w:val="right"/>
              <w:rPr>
                <w:color w:val="000000"/>
              </w:rPr>
            </w:pPr>
            <w:r>
              <w:rPr>
                <w:color w:val="000000"/>
              </w:rPr>
              <w:t>$225</w:t>
            </w:r>
          </w:p>
        </w:tc>
        <w:tc>
          <w:tcPr>
            <w:tcW w:w="1291" w:type="dxa"/>
          </w:tcPr>
          <w:p w14:paraId="5D05C70B" w14:textId="6F3555CC" w:rsidR="002262B8" w:rsidRDefault="002262B8" w:rsidP="002262B8">
            <w:pPr>
              <w:pStyle w:val="NormalWeb"/>
              <w:spacing w:before="0" w:beforeAutospacing="0" w:after="0" w:afterAutospacing="0"/>
              <w:jc w:val="right"/>
              <w:rPr>
                <w:color w:val="000000"/>
              </w:rPr>
            </w:pPr>
            <w:r>
              <w:rPr>
                <w:color w:val="000000"/>
              </w:rPr>
              <w:t>$675</w:t>
            </w:r>
          </w:p>
        </w:tc>
      </w:tr>
      <w:tr w:rsidR="002262B8" w14:paraId="749109C9" w14:textId="41B1CC8F" w:rsidTr="00F458BF">
        <w:tc>
          <w:tcPr>
            <w:tcW w:w="3870" w:type="dxa"/>
          </w:tcPr>
          <w:p w14:paraId="3E1B474A" w14:textId="3C3B8FDA" w:rsidR="002262B8" w:rsidRDefault="002262B8" w:rsidP="00FD7E60">
            <w:pPr>
              <w:pStyle w:val="NormalWeb"/>
              <w:spacing w:before="0" w:beforeAutospacing="0" w:after="0" w:afterAutospacing="0"/>
              <w:rPr>
                <w:color w:val="000000"/>
              </w:rPr>
            </w:pPr>
            <w:r>
              <w:rPr>
                <w:color w:val="000000"/>
              </w:rPr>
              <w:t>H</w:t>
            </w:r>
            <w:r w:rsidR="00F458BF">
              <w:rPr>
                <w:color w:val="000000"/>
              </w:rPr>
              <w:t>u</w:t>
            </w:r>
            <w:r>
              <w:rPr>
                <w:color w:val="000000"/>
              </w:rPr>
              <w:t xml:space="preserve">gh and Elizabeth </w:t>
            </w:r>
            <w:proofErr w:type="spellStart"/>
            <w:r>
              <w:rPr>
                <w:color w:val="000000"/>
              </w:rPr>
              <w:t>McQuillen</w:t>
            </w:r>
            <w:proofErr w:type="spellEnd"/>
            <w:r>
              <w:rPr>
                <w:color w:val="000000"/>
              </w:rPr>
              <w:t xml:space="preserve"> Fund</w:t>
            </w:r>
          </w:p>
        </w:tc>
        <w:tc>
          <w:tcPr>
            <w:tcW w:w="1169" w:type="dxa"/>
          </w:tcPr>
          <w:p w14:paraId="378AC5EA" w14:textId="77777777" w:rsidR="002262B8" w:rsidRDefault="002262B8" w:rsidP="002262B8">
            <w:pPr>
              <w:pStyle w:val="NormalWeb"/>
              <w:spacing w:before="0" w:beforeAutospacing="0" w:after="0" w:afterAutospacing="0"/>
              <w:jc w:val="right"/>
              <w:rPr>
                <w:color w:val="000000"/>
              </w:rPr>
            </w:pPr>
          </w:p>
        </w:tc>
        <w:tc>
          <w:tcPr>
            <w:tcW w:w="1290" w:type="dxa"/>
          </w:tcPr>
          <w:p w14:paraId="61D7684A" w14:textId="77777777" w:rsidR="002262B8" w:rsidRDefault="002262B8" w:rsidP="002262B8">
            <w:pPr>
              <w:pStyle w:val="NormalWeb"/>
              <w:spacing w:before="0" w:beforeAutospacing="0" w:after="0" w:afterAutospacing="0"/>
              <w:jc w:val="right"/>
              <w:rPr>
                <w:color w:val="000000"/>
              </w:rPr>
            </w:pPr>
          </w:p>
        </w:tc>
        <w:tc>
          <w:tcPr>
            <w:tcW w:w="1290" w:type="dxa"/>
          </w:tcPr>
          <w:p w14:paraId="1FC8C743" w14:textId="479A0AEB" w:rsidR="002262B8" w:rsidRDefault="002262B8" w:rsidP="002262B8">
            <w:pPr>
              <w:pStyle w:val="NormalWeb"/>
              <w:spacing w:before="0" w:beforeAutospacing="0" w:after="0" w:afterAutospacing="0"/>
              <w:jc w:val="right"/>
              <w:rPr>
                <w:color w:val="000000"/>
              </w:rPr>
            </w:pPr>
            <w:r>
              <w:rPr>
                <w:color w:val="000000"/>
              </w:rPr>
              <w:t>$825</w:t>
            </w:r>
          </w:p>
        </w:tc>
        <w:tc>
          <w:tcPr>
            <w:tcW w:w="1291" w:type="dxa"/>
          </w:tcPr>
          <w:p w14:paraId="5D0170D3" w14:textId="1351C741" w:rsidR="002262B8" w:rsidRDefault="002262B8" w:rsidP="002262B8">
            <w:pPr>
              <w:pStyle w:val="NormalWeb"/>
              <w:spacing w:before="0" w:beforeAutospacing="0" w:after="0" w:afterAutospacing="0"/>
              <w:jc w:val="right"/>
              <w:rPr>
                <w:color w:val="000000"/>
              </w:rPr>
            </w:pPr>
            <w:r>
              <w:rPr>
                <w:color w:val="000000"/>
              </w:rPr>
              <w:t>$825</w:t>
            </w:r>
          </w:p>
        </w:tc>
      </w:tr>
      <w:tr w:rsidR="002262B8" w14:paraId="77ECBA5E" w14:textId="1B52378E" w:rsidTr="00F458BF">
        <w:tc>
          <w:tcPr>
            <w:tcW w:w="3870" w:type="dxa"/>
          </w:tcPr>
          <w:p w14:paraId="7B3169EA" w14:textId="1DDFD7DD" w:rsidR="002262B8" w:rsidRDefault="002262B8" w:rsidP="00FD7E60">
            <w:pPr>
              <w:pStyle w:val="NormalWeb"/>
              <w:spacing w:before="0" w:beforeAutospacing="0" w:after="0" w:afterAutospacing="0"/>
              <w:rPr>
                <w:color w:val="000000"/>
              </w:rPr>
            </w:pPr>
            <w:r>
              <w:rPr>
                <w:color w:val="000000"/>
              </w:rPr>
              <w:t xml:space="preserve">Hannah Shuttleworth Fund </w:t>
            </w:r>
          </w:p>
        </w:tc>
        <w:tc>
          <w:tcPr>
            <w:tcW w:w="1169" w:type="dxa"/>
            <w:tcBorders>
              <w:bottom w:val="single" w:sz="4" w:space="0" w:color="auto"/>
            </w:tcBorders>
          </w:tcPr>
          <w:p w14:paraId="31B926A0" w14:textId="5F1B6CB3" w:rsidR="002262B8" w:rsidRDefault="002262B8" w:rsidP="002262B8">
            <w:pPr>
              <w:pStyle w:val="NormalWeb"/>
              <w:spacing w:before="0" w:beforeAutospacing="0" w:after="0" w:afterAutospacing="0"/>
              <w:jc w:val="right"/>
              <w:rPr>
                <w:color w:val="000000"/>
              </w:rPr>
            </w:pPr>
            <w:r>
              <w:rPr>
                <w:color w:val="000000"/>
              </w:rPr>
              <w:t>$5,250</w:t>
            </w:r>
          </w:p>
        </w:tc>
        <w:tc>
          <w:tcPr>
            <w:tcW w:w="1290" w:type="dxa"/>
            <w:tcBorders>
              <w:bottom w:val="single" w:sz="4" w:space="0" w:color="auto"/>
            </w:tcBorders>
          </w:tcPr>
          <w:p w14:paraId="270BA244" w14:textId="77777777" w:rsidR="002262B8" w:rsidRDefault="002262B8" w:rsidP="002262B8">
            <w:pPr>
              <w:pStyle w:val="NormalWeb"/>
              <w:spacing w:before="0" w:beforeAutospacing="0" w:after="0" w:afterAutospacing="0"/>
              <w:jc w:val="right"/>
              <w:rPr>
                <w:color w:val="000000"/>
              </w:rPr>
            </w:pPr>
          </w:p>
        </w:tc>
        <w:tc>
          <w:tcPr>
            <w:tcW w:w="1290" w:type="dxa"/>
            <w:tcBorders>
              <w:bottom w:val="single" w:sz="4" w:space="0" w:color="auto"/>
            </w:tcBorders>
          </w:tcPr>
          <w:p w14:paraId="045CD1E4" w14:textId="34BFC108" w:rsidR="002262B8" w:rsidRDefault="002262B8" w:rsidP="002262B8">
            <w:pPr>
              <w:pStyle w:val="NormalWeb"/>
              <w:spacing w:before="0" w:beforeAutospacing="0" w:after="0" w:afterAutospacing="0"/>
              <w:jc w:val="right"/>
              <w:rPr>
                <w:color w:val="000000"/>
              </w:rPr>
            </w:pPr>
            <w:r>
              <w:rPr>
                <w:color w:val="000000"/>
              </w:rPr>
              <w:t>$6,500</w:t>
            </w:r>
          </w:p>
        </w:tc>
        <w:tc>
          <w:tcPr>
            <w:tcW w:w="1291" w:type="dxa"/>
            <w:tcBorders>
              <w:bottom w:val="single" w:sz="4" w:space="0" w:color="auto"/>
            </w:tcBorders>
          </w:tcPr>
          <w:p w14:paraId="3C2A0174" w14:textId="1C15913E" w:rsidR="002262B8" w:rsidRDefault="002262B8" w:rsidP="002262B8">
            <w:pPr>
              <w:pStyle w:val="NormalWeb"/>
              <w:spacing w:before="0" w:beforeAutospacing="0" w:after="0" w:afterAutospacing="0"/>
              <w:jc w:val="right"/>
              <w:rPr>
                <w:color w:val="000000"/>
              </w:rPr>
            </w:pPr>
            <w:r>
              <w:rPr>
                <w:color w:val="000000"/>
              </w:rPr>
              <w:t>$11,750</w:t>
            </w:r>
          </w:p>
        </w:tc>
      </w:tr>
      <w:tr w:rsidR="002262B8" w14:paraId="6B6419D0" w14:textId="77777777" w:rsidTr="00F458BF">
        <w:tc>
          <w:tcPr>
            <w:tcW w:w="3870" w:type="dxa"/>
          </w:tcPr>
          <w:p w14:paraId="1F613BA2" w14:textId="4821E748" w:rsidR="002262B8" w:rsidRDefault="002262B8" w:rsidP="00952DCD">
            <w:pPr>
              <w:pStyle w:val="NormalWeb"/>
              <w:spacing w:before="0" w:beforeAutospacing="0" w:after="0" w:afterAutospacing="0"/>
              <w:jc w:val="right"/>
              <w:rPr>
                <w:color w:val="000000"/>
              </w:rPr>
            </w:pPr>
            <w:r>
              <w:rPr>
                <w:color w:val="000000"/>
              </w:rPr>
              <w:t>TOTAL</w:t>
            </w:r>
          </w:p>
        </w:tc>
        <w:tc>
          <w:tcPr>
            <w:tcW w:w="1169" w:type="dxa"/>
            <w:tcBorders>
              <w:top w:val="single" w:sz="4" w:space="0" w:color="auto"/>
              <w:bottom w:val="double" w:sz="4" w:space="0" w:color="auto"/>
            </w:tcBorders>
          </w:tcPr>
          <w:p w14:paraId="70397AB5" w14:textId="158D0169" w:rsidR="002262B8" w:rsidRDefault="002262B8" w:rsidP="002262B8">
            <w:pPr>
              <w:pStyle w:val="NormalWeb"/>
              <w:spacing w:before="0" w:beforeAutospacing="0" w:after="0" w:afterAutospacing="0"/>
              <w:jc w:val="right"/>
              <w:rPr>
                <w:color w:val="000000"/>
              </w:rPr>
            </w:pPr>
            <w:r>
              <w:rPr>
                <w:color w:val="000000"/>
              </w:rPr>
              <w:t>$5,</w:t>
            </w:r>
            <w:r w:rsidR="000E7954">
              <w:rPr>
                <w:color w:val="000000"/>
              </w:rPr>
              <w:t>475</w:t>
            </w:r>
          </w:p>
        </w:tc>
        <w:tc>
          <w:tcPr>
            <w:tcW w:w="1290" w:type="dxa"/>
            <w:tcBorders>
              <w:top w:val="single" w:sz="4" w:space="0" w:color="auto"/>
              <w:bottom w:val="double" w:sz="4" w:space="0" w:color="auto"/>
            </w:tcBorders>
          </w:tcPr>
          <w:p w14:paraId="68256F2F" w14:textId="1ABD0821" w:rsidR="002262B8" w:rsidRDefault="002262B8" w:rsidP="002262B8">
            <w:pPr>
              <w:pStyle w:val="NormalWeb"/>
              <w:spacing w:before="0" w:beforeAutospacing="0" w:after="0" w:afterAutospacing="0"/>
              <w:jc w:val="right"/>
              <w:rPr>
                <w:color w:val="000000"/>
              </w:rPr>
            </w:pPr>
            <w:r>
              <w:rPr>
                <w:color w:val="000000"/>
              </w:rPr>
              <w:t>$10,675</w:t>
            </w:r>
          </w:p>
        </w:tc>
        <w:tc>
          <w:tcPr>
            <w:tcW w:w="1290" w:type="dxa"/>
            <w:tcBorders>
              <w:top w:val="single" w:sz="4" w:space="0" w:color="auto"/>
              <w:bottom w:val="double" w:sz="4" w:space="0" w:color="auto"/>
            </w:tcBorders>
          </w:tcPr>
          <w:p w14:paraId="7F273A9B" w14:textId="34DB3AE8" w:rsidR="002262B8" w:rsidRDefault="002262B8" w:rsidP="002262B8">
            <w:pPr>
              <w:pStyle w:val="NormalWeb"/>
              <w:spacing w:before="0" w:beforeAutospacing="0" w:after="0" w:afterAutospacing="0"/>
              <w:jc w:val="right"/>
              <w:rPr>
                <w:color w:val="000000"/>
              </w:rPr>
            </w:pPr>
            <w:r>
              <w:rPr>
                <w:color w:val="000000"/>
              </w:rPr>
              <w:t>$7,550</w:t>
            </w:r>
          </w:p>
        </w:tc>
        <w:tc>
          <w:tcPr>
            <w:tcW w:w="1291" w:type="dxa"/>
            <w:tcBorders>
              <w:top w:val="single" w:sz="4" w:space="0" w:color="auto"/>
              <w:bottom w:val="double" w:sz="4" w:space="0" w:color="auto"/>
            </w:tcBorders>
          </w:tcPr>
          <w:p w14:paraId="1F005907" w14:textId="753155B8" w:rsidR="002262B8" w:rsidRDefault="002262B8" w:rsidP="002262B8">
            <w:pPr>
              <w:pStyle w:val="NormalWeb"/>
              <w:spacing w:before="0" w:beforeAutospacing="0" w:after="0" w:afterAutospacing="0"/>
              <w:jc w:val="right"/>
              <w:rPr>
                <w:color w:val="000000"/>
              </w:rPr>
            </w:pPr>
            <w:r>
              <w:rPr>
                <w:color w:val="000000"/>
              </w:rPr>
              <w:t>$23,</w:t>
            </w:r>
            <w:r w:rsidR="000E7954">
              <w:rPr>
                <w:color w:val="000000"/>
              </w:rPr>
              <w:t>7</w:t>
            </w:r>
            <w:r>
              <w:rPr>
                <w:color w:val="000000"/>
              </w:rPr>
              <w:t>00</w:t>
            </w:r>
          </w:p>
        </w:tc>
      </w:tr>
    </w:tbl>
    <w:p w14:paraId="117C02A3" w14:textId="77777777" w:rsidR="007402C3" w:rsidRDefault="007402C3" w:rsidP="00FD7E60">
      <w:pPr>
        <w:pStyle w:val="NormalWeb"/>
        <w:spacing w:before="0" w:beforeAutospacing="0" w:after="0" w:afterAutospacing="0"/>
        <w:rPr>
          <w:color w:val="000000"/>
        </w:rPr>
      </w:pPr>
    </w:p>
    <w:p w14:paraId="6E5C69A7" w14:textId="77777777" w:rsidR="00FD7E60" w:rsidRDefault="00FD7E60" w:rsidP="00FD7E60">
      <w:pPr>
        <w:pStyle w:val="NormalWeb"/>
        <w:spacing w:before="0" w:beforeAutospacing="0" w:after="0" w:afterAutospacing="0"/>
        <w:rPr>
          <w:b/>
          <w:i/>
          <w:color w:val="000000"/>
        </w:rPr>
      </w:pPr>
    </w:p>
    <w:p w14:paraId="21B4000D" w14:textId="08834884" w:rsidR="00FD7E60" w:rsidRPr="002B0758" w:rsidRDefault="00FD7E60" w:rsidP="00FD7E60">
      <w:pPr>
        <w:pStyle w:val="NormalWeb"/>
        <w:spacing w:before="0" w:beforeAutospacing="0" w:after="0" w:afterAutospacing="0"/>
        <w:rPr>
          <w:color w:val="000000"/>
        </w:rPr>
      </w:pPr>
      <w:r w:rsidRPr="002B0758">
        <w:rPr>
          <w:b/>
          <w:color w:val="000000"/>
          <w:u w:val="single"/>
        </w:rPr>
        <w:t>Authorization of Winter Holiday Wreaths from Flower Funds:</w:t>
      </w:r>
      <w:r w:rsidR="002B0758" w:rsidRPr="002B0758">
        <w:rPr>
          <w:bCs/>
          <w:color w:val="000000"/>
        </w:rPr>
        <w:t xml:space="preserve"> Commissioner Reynolds reminded the Commission </w:t>
      </w:r>
      <w:r w:rsidRPr="002B0758">
        <w:rPr>
          <w:color w:val="000000"/>
        </w:rPr>
        <w:t xml:space="preserve">that, annually, holiday wreaths are funded through the Gertrude L. Morse Fund and Inez E. </w:t>
      </w:r>
      <w:proofErr w:type="spellStart"/>
      <w:r w:rsidRPr="002B0758">
        <w:rPr>
          <w:color w:val="000000"/>
        </w:rPr>
        <w:t>Bonemort</w:t>
      </w:r>
      <w:proofErr w:type="spellEnd"/>
      <w:r w:rsidRPr="002B0758">
        <w:rPr>
          <w:color w:val="000000"/>
        </w:rPr>
        <w:t xml:space="preserve"> Fund, to be placed on designated graves during the holiday season. </w:t>
      </w:r>
      <w:r w:rsidR="002B0758" w:rsidRPr="002B0758">
        <w:rPr>
          <w:color w:val="000000"/>
        </w:rPr>
        <w:t xml:space="preserve">Last year, the vote was to award up to $10 from the Morse Fund, and up to $15 from the </w:t>
      </w:r>
      <w:proofErr w:type="spellStart"/>
      <w:r w:rsidR="002B0758" w:rsidRPr="002B0758">
        <w:rPr>
          <w:color w:val="000000"/>
        </w:rPr>
        <w:t>Bonemort</w:t>
      </w:r>
      <w:proofErr w:type="spellEnd"/>
      <w:r w:rsidR="002B0758" w:rsidRPr="002B0758">
        <w:rPr>
          <w:color w:val="000000"/>
        </w:rPr>
        <w:t xml:space="preserve"> Fund. With a robust market environment, returns are up, allowing the Commission to make a higher award to cover the actual cost of the wreaths, Commissioner Reynolds suggested. However, as she recommended earlier in the social services award discussion, it may be prudent to make a conservative award and not use the full 12-month return amount available. </w:t>
      </w:r>
    </w:p>
    <w:p w14:paraId="3E1353A8" w14:textId="067D2C60" w:rsidR="002B0758" w:rsidRPr="002B0758" w:rsidRDefault="002B0758" w:rsidP="00FD7E60">
      <w:pPr>
        <w:pStyle w:val="NormalWeb"/>
        <w:spacing w:before="0" w:beforeAutospacing="0" w:after="0" w:afterAutospacing="0"/>
        <w:rPr>
          <w:color w:val="000000"/>
        </w:rPr>
      </w:pPr>
    </w:p>
    <w:p w14:paraId="0B1C1846" w14:textId="2E6F4572" w:rsidR="002B0758" w:rsidRPr="002B0758" w:rsidRDefault="002B0758" w:rsidP="00FD7E60">
      <w:pPr>
        <w:pStyle w:val="NormalWeb"/>
        <w:spacing w:before="0" w:beforeAutospacing="0" w:after="0" w:afterAutospacing="0"/>
        <w:rPr>
          <w:color w:val="000000"/>
        </w:rPr>
      </w:pPr>
      <w:r w:rsidRPr="002B0758">
        <w:rPr>
          <w:color w:val="000000"/>
        </w:rPr>
        <w:t>Commissioner Reynolds moved to award up to $20 from the Gertrude L. Morse Fund, and up to $</w:t>
      </w:r>
      <w:r w:rsidR="00857ED5">
        <w:rPr>
          <w:color w:val="000000"/>
        </w:rPr>
        <w:t>20</w:t>
      </w:r>
      <w:r w:rsidRPr="002B0758">
        <w:rPr>
          <w:color w:val="000000"/>
        </w:rPr>
        <w:t xml:space="preserve"> from the Inez E. </w:t>
      </w:r>
      <w:proofErr w:type="spellStart"/>
      <w:r w:rsidRPr="002B0758">
        <w:rPr>
          <w:color w:val="000000"/>
        </w:rPr>
        <w:t>Bonemort</w:t>
      </w:r>
      <w:proofErr w:type="spellEnd"/>
      <w:r w:rsidRPr="002B0758">
        <w:rPr>
          <w:color w:val="000000"/>
        </w:rPr>
        <w:t xml:space="preserve"> Fund. The motion was adopted by general consent. </w:t>
      </w:r>
    </w:p>
    <w:p w14:paraId="58725DA2" w14:textId="367EE9D7" w:rsidR="00FD7E60" w:rsidRDefault="00FD7E60" w:rsidP="00F25C68">
      <w:pPr>
        <w:spacing w:line="240" w:lineRule="auto"/>
        <w:rPr>
          <w:rFonts w:ascii="Times New Roman" w:eastAsia="Times New Roman" w:hAnsi="Times New Roman" w:cs="Times New Roman"/>
          <w:sz w:val="24"/>
          <w:szCs w:val="24"/>
        </w:rPr>
      </w:pPr>
    </w:p>
    <w:p w14:paraId="3E38D4E3" w14:textId="77777777" w:rsidR="002B0758" w:rsidRPr="00BE716C" w:rsidRDefault="002B0758" w:rsidP="002B0758">
      <w:pPr>
        <w:spacing w:line="240" w:lineRule="auto"/>
        <w:rPr>
          <w:rFonts w:ascii="Times New Roman" w:eastAsia="Times New Roman" w:hAnsi="Times New Roman" w:cs="Times New Roman"/>
          <w:sz w:val="24"/>
          <w:szCs w:val="24"/>
        </w:rPr>
      </w:pPr>
    </w:p>
    <w:p w14:paraId="73DE17A9" w14:textId="541B7EB1" w:rsidR="002B0758" w:rsidRDefault="002B0758" w:rsidP="002B0758">
      <w:pPr>
        <w:spacing w:line="240" w:lineRule="auto"/>
        <w:rPr>
          <w:rFonts w:ascii="Times New Roman" w:hAnsi="Times New Roman" w:cs="Times New Roman"/>
          <w:sz w:val="24"/>
          <w:szCs w:val="24"/>
        </w:rPr>
      </w:pPr>
      <w:r w:rsidRPr="00BE716C">
        <w:rPr>
          <w:rFonts w:ascii="Times New Roman" w:eastAsia="Times New Roman" w:hAnsi="Times New Roman" w:cs="Times New Roman"/>
          <w:b/>
          <w:bCs/>
          <w:sz w:val="24"/>
          <w:szCs w:val="24"/>
          <w:u w:val="single"/>
        </w:rPr>
        <w:t>Updates from Chair and Clerk on Commission Correspondence.</w:t>
      </w:r>
      <w:r>
        <w:t xml:space="preserve"> </w:t>
      </w:r>
      <w:r>
        <w:rPr>
          <w:rFonts w:ascii="Times New Roman" w:hAnsi="Times New Roman" w:cs="Times New Roman"/>
          <w:sz w:val="24"/>
          <w:szCs w:val="24"/>
        </w:rPr>
        <w:t xml:space="preserve">Commissioner Reynolds reported that Mr. </w:t>
      </w:r>
      <w:proofErr w:type="spellStart"/>
      <w:r>
        <w:rPr>
          <w:rFonts w:ascii="Times New Roman" w:hAnsi="Times New Roman" w:cs="Times New Roman"/>
          <w:sz w:val="24"/>
          <w:szCs w:val="24"/>
        </w:rPr>
        <w:t>Dervan</w:t>
      </w:r>
      <w:proofErr w:type="spellEnd"/>
      <w:r>
        <w:rPr>
          <w:rFonts w:ascii="Times New Roman" w:hAnsi="Times New Roman" w:cs="Times New Roman"/>
          <w:sz w:val="24"/>
          <w:szCs w:val="24"/>
        </w:rPr>
        <w:t xml:space="preserve"> had request</w:t>
      </w:r>
      <w:r w:rsidR="003D2BAA">
        <w:rPr>
          <w:rFonts w:ascii="Times New Roman" w:hAnsi="Times New Roman" w:cs="Times New Roman"/>
          <w:sz w:val="24"/>
          <w:szCs w:val="24"/>
        </w:rPr>
        <w:t>ed</w:t>
      </w:r>
      <w:r>
        <w:rPr>
          <w:rFonts w:ascii="Times New Roman" w:hAnsi="Times New Roman" w:cs="Times New Roman"/>
          <w:sz w:val="24"/>
          <w:szCs w:val="24"/>
        </w:rPr>
        <w:t xml:space="preserve"> a formal acknowledgment of both the $350 additional gift toward a 2019 scholarship, as well as $3,000 toward principal. She prepared such a letter, reviewed by Commission Chair Desmond and Treasurer </w:t>
      </w:r>
      <w:proofErr w:type="spellStart"/>
      <w:r>
        <w:rPr>
          <w:rFonts w:ascii="Times New Roman" w:hAnsi="Times New Roman" w:cs="Times New Roman"/>
          <w:sz w:val="24"/>
          <w:szCs w:val="24"/>
        </w:rPr>
        <w:t>Lepardo</w:t>
      </w:r>
      <w:proofErr w:type="spellEnd"/>
      <w:r>
        <w:rPr>
          <w:rFonts w:ascii="Times New Roman" w:hAnsi="Times New Roman" w:cs="Times New Roman"/>
          <w:sz w:val="24"/>
          <w:szCs w:val="24"/>
        </w:rPr>
        <w:t xml:space="preserve">, and it was sent to the </w:t>
      </w:r>
      <w:proofErr w:type="spellStart"/>
      <w:r>
        <w:rPr>
          <w:rFonts w:ascii="Times New Roman" w:hAnsi="Times New Roman" w:cs="Times New Roman"/>
          <w:sz w:val="24"/>
          <w:szCs w:val="24"/>
        </w:rPr>
        <w:t>Dervans</w:t>
      </w:r>
      <w:proofErr w:type="spellEnd"/>
      <w:r>
        <w:rPr>
          <w:rFonts w:ascii="Times New Roman" w:hAnsi="Times New Roman" w:cs="Times New Roman"/>
          <w:sz w:val="24"/>
          <w:szCs w:val="24"/>
        </w:rPr>
        <w:t xml:space="preserve"> at the end of October. Mr. </w:t>
      </w:r>
      <w:proofErr w:type="spellStart"/>
      <w:r>
        <w:rPr>
          <w:rFonts w:ascii="Times New Roman" w:hAnsi="Times New Roman" w:cs="Times New Roman"/>
          <w:sz w:val="24"/>
          <w:szCs w:val="24"/>
        </w:rPr>
        <w:t>Dervan</w:t>
      </w:r>
      <w:proofErr w:type="spellEnd"/>
      <w:r>
        <w:rPr>
          <w:rFonts w:ascii="Times New Roman" w:hAnsi="Times New Roman" w:cs="Times New Roman"/>
          <w:sz w:val="24"/>
          <w:szCs w:val="24"/>
        </w:rPr>
        <w:t xml:space="preserve"> has not contacted Commissioner Reynolds with any questions, which she takes to mean he is satisfied with the letter. </w:t>
      </w:r>
    </w:p>
    <w:p w14:paraId="3F0554A0" w14:textId="77777777" w:rsidR="002B0758" w:rsidRDefault="002B0758" w:rsidP="002B0758">
      <w:pPr>
        <w:spacing w:line="240" w:lineRule="auto"/>
        <w:rPr>
          <w:rFonts w:ascii="Times New Roman" w:hAnsi="Times New Roman" w:cs="Times New Roman"/>
          <w:sz w:val="24"/>
          <w:szCs w:val="24"/>
        </w:rPr>
      </w:pPr>
    </w:p>
    <w:p w14:paraId="254BD3D8" w14:textId="7C8AA135" w:rsidR="002B0758" w:rsidRDefault="002B0758" w:rsidP="002B0758">
      <w:pPr>
        <w:spacing w:line="240" w:lineRule="auto"/>
        <w:rPr>
          <w:rFonts w:ascii="Times New Roman" w:hAnsi="Times New Roman" w:cs="Times New Roman"/>
          <w:sz w:val="24"/>
          <w:szCs w:val="24"/>
        </w:rPr>
      </w:pPr>
      <w:r>
        <w:rPr>
          <w:rFonts w:ascii="Times New Roman" w:hAnsi="Times New Roman" w:cs="Times New Roman"/>
          <w:sz w:val="24"/>
          <w:szCs w:val="24"/>
        </w:rPr>
        <w:t xml:space="preserve">Commissioner Reynolds reminded the Commission that maintaining a positive relationship with Mr. </w:t>
      </w:r>
      <w:proofErr w:type="spellStart"/>
      <w:r>
        <w:rPr>
          <w:rFonts w:ascii="Times New Roman" w:hAnsi="Times New Roman" w:cs="Times New Roman"/>
          <w:sz w:val="24"/>
          <w:szCs w:val="24"/>
        </w:rPr>
        <w:t>Dervan</w:t>
      </w:r>
      <w:proofErr w:type="spellEnd"/>
      <w:r>
        <w:rPr>
          <w:rFonts w:ascii="Times New Roman" w:hAnsi="Times New Roman" w:cs="Times New Roman"/>
          <w:sz w:val="24"/>
          <w:szCs w:val="24"/>
        </w:rPr>
        <w:t xml:space="preserve"> keeps the door option for future contributions to the Fund. Additionally, </w:t>
      </w:r>
      <w:r w:rsidR="00EB7F95">
        <w:rPr>
          <w:rFonts w:ascii="Times New Roman" w:hAnsi="Times New Roman" w:cs="Times New Roman"/>
          <w:sz w:val="24"/>
          <w:szCs w:val="24"/>
        </w:rPr>
        <w:t>it may allow</w:t>
      </w:r>
      <w:r>
        <w:rPr>
          <w:rFonts w:ascii="Times New Roman" w:hAnsi="Times New Roman" w:cs="Times New Roman"/>
          <w:sz w:val="24"/>
          <w:szCs w:val="24"/>
        </w:rPr>
        <w:t xml:space="preserve"> a future conversation about the terms of his Fund, which are currently restricted to be managed at Rockland</w:t>
      </w:r>
      <w:r w:rsidR="00EB7F95">
        <w:rPr>
          <w:rFonts w:ascii="Times New Roman" w:hAnsi="Times New Roman" w:cs="Times New Roman"/>
          <w:sz w:val="24"/>
          <w:szCs w:val="24"/>
        </w:rPr>
        <w:t xml:space="preserve"> Bank</w:t>
      </w:r>
      <w:r w:rsidR="003D2BAA">
        <w:rPr>
          <w:rFonts w:ascii="Times New Roman" w:hAnsi="Times New Roman" w:cs="Times New Roman"/>
          <w:sz w:val="24"/>
          <w:szCs w:val="24"/>
        </w:rPr>
        <w:t xml:space="preserve"> only</w:t>
      </w:r>
      <w:r w:rsidR="00EB7F95">
        <w:rPr>
          <w:rFonts w:ascii="Times New Roman" w:hAnsi="Times New Roman" w:cs="Times New Roman"/>
          <w:sz w:val="24"/>
          <w:szCs w:val="24"/>
        </w:rPr>
        <w:t>. T</w:t>
      </w:r>
      <w:r>
        <w:rPr>
          <w:rFonts w:ascii="Times New Roman" w:hAnsi="Times New Roman" w:cs="Times New Roman"/>
          <w:sz w:val="24"/>
          <w:szCs w:val="24"/>
        </w:rPr>
        <w:t xml:space="preserve">he Commission is seeking written approval </w:t>
      </w:r>
      <w:r w:rsidR="00EB7F95">
        <w:rPr>
          <w:rFonts w:ascii="Times New Roman" w:hAnsi="Times New Roman" w:cs="Times New Roman"/>
          <w:sz w:val="24"/>
          <w:szCs w:val="24"/>
        </w:rPr>
        <w:t xml:space="preserve">to loosen the bank-specific restriction, to allow for flexibility should the Trust Funds move to another bank in the future. </w:t>
      </w:r>
    </w:p>
    <w:p w14:paraId="307120CE" w14:textId="7F044A83" w:rsidR="00311AC8" w:rsidRDefault="00311AC8" w:rsidP="002B0758">
      <w:pPr>
        <w:spacing w:line="240" w:lineRule="auto"/>
        <w:rPr>
          <w:rFonts w:ascii="Times New Roman" w:hAnsi="Times New Roman" w:cs="Times New Roman"/>
          <w:sz w:val="24"/>
          <w:szCs w:val="24"/>
        </w:rPr>
      </w:pPr>
    </w:p>
    <w:p w14:paraId="62AB7A76" w14:textId="501F7AC1" w:rsidR="00311AC8" w:rsidRDefault="00311AC8" w:rsidP="002B0758">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Commission Chair</w:t>
      </w:r>
      <w:r w:rsidR="003D2BAA">
        <w:rPr>
          <w:rFonts w:ascii="Times New Roman" w:hAnsi="Times New Roman" w:cs="Times New Roman"/>
          <w:sz w:val="24"/>
          <w:szCs w:val="24"/>
        </w:rPr>
        <w:t xml:space="preserve"> Desmond</w:t>
      </w:r>
      <w:r>
        <w:rPr>
          <w:rFonts w:ascii="Times New Roman" w:hAnsi="Times New Roman" w:cs="Times New Roman"/>
          <w:sz w:val="24"/>
          <w:szCs w:val="24"/>
        </w:rPr>
        <w:t xml:space="preserve"> added that he spoke with Amy from Superintendent Welch’s office to inquire about whether Mr. Welch responded to the letter from Mr. </w:t>
      </w:r>
      <w:proofErr w:type="spellStart"/>
      <w:r>
        <w:rPr>
          <w:rFonts w:ascii="Times New Roman" w:hAnsi="Times New Roman" w:cs="Times New Roman"/>
          <w:sz w:val="24"/>
          <w:szCs w:val="24"/>
        </w:rPr>
        <w:t>Dervan</w:t>
      </w:r>
      <w:proofErr w:type="spellEnd"/>
      <w:r>
        <w:rPr>
          <w:rFonts w:ascii="Times New Roman" w:hAnsi="Times New Roman" w:cs="Times New Roman"/>
          <w:sz w:val="24"/>
          <w:szCs w:val="24"/>
        </w:rPr>
        <w:t xml:space="preserve">, expressing his displeasure in the course of study of the recipient. It is hoped that Mr. Welch will respond to Mr. </w:t>
      </w:r>
      <w:proofErr w:type="spellStart"/>
      <w:r>
        <w:rPr>
          <w:rFonts w:ascii="Times New Roman" w:hAnsi="Times New Roman" w:cs="Times New Roman"/>
          <w:sz w:val="24"/>
          <w:szCs w:val="24"/>
        </w:rPr>
        <w:t>Dervan</w:t>
      </w:r>
      <w:proofErr w:type="spellEnd"/>
      <w:r>
        <w:rPr>
          <w:rFonts w:ascii="Times New Roman" w:hAnsi="Times New Roman" w:cs="Times New Roman"/>
          <w:sz w:val="24"/>
          <w:szCs w:val="24"/>
        </w:rPr>
        <w:t xml:space="preserve"> as a result of this reminder.  </w:t>
      </w:r>
    </w:p>
    <w:p w14:paraId="5F98FD37" w14:textId="77777777" w:rsidR="002B0758" w:rsidRPr="00BE716C" w:rsidRDefault="002B0758" w:rsidP="002B0758">
      <w:pPr>
        <w:spacing w:line="240" w:lineRule="auto"/>
        <w:rPr>
          <w:rFonts w:ascii="Times New Roman" w:eastAsia="Times New Roman" w:hAnsi="Times New Roman" w:cs="Times New Roman"/>
          <w:b/>
          <w:bCs/>
          <w:sz w:val="24"/>
          <w:szCs w:val="24"/>
          <w:u w:val="single"/>
        </w:rPr>
      </w:pPr>
    </w:p>
    <w:p w14:paraId="57EB7DF2" w14:textId="6E99D58C" w:rsidR="00816FBA" w:rsidRDefault="00816FBA" w:rsidP="00816FBA">
      <w:pPr>
        <w:spacing w:line="240" w:lineRule="auto"/>
        <w:rPr>
          <w:rFonts w:ascii="Times New Roman" w:eastAsia="Times New Roman" w:hAnsi="Times New Roman" w:cs="Times New Roman"/>
          <w:sz w:val="24"/>
          <w:szCs w:val="24"/>
        </w:rPr>
      </w:pPr>
      <w:r w:rsidRPr="00A47B7E">
        <w:rPr>
          <w:rFonts w:ascii="Times New Roman" w:eastAsia="Times New Roman" w:hAnsi="Times New Roman" w:cs="Times New Roman"/>
          <w:b/>
          <w:sz w:val="24"/>
          <w:szCs w:val="24"/>
          <w:u w:val="single"/>
        </w:rPr>
        <w:t>Update from Treasurer on Commission Correspondence, Status of Scholarship Claims and Reversions for Failure to Claim:</w:t>
      </w:r>
      <w:r w:rsidRPr="00A47B7E">
        <w:rPr>
          <w:rFonts w:ascii="Times New Roman" w:eastAsia="Times New Roman" w:hAnsi="Times New Roman" w:cs="Times New Roman"/>
          <w:sz w:val="24"/>
          <w:szCs w:val="24"/>
        </w:rPr>
        <w:t xml:space="preserve"> </w:t>
      </w:r>
      <w:r w:rsidR="000D467A">
        <w:rPr>
          <w:rFonts w:ascii="Times New Roman" w:eastAsia="Times New Roman" w:hAnsi="Times New Roman" w:cs="Times New Roman"/>
          <w:sz w:val="24"/>
          <w:szCs w:val="24"/>
        </w:rPr>
        <w:t>Treasurer</w:t>
      </w:r>
      <w:r w:rsidR="00A47B7E">
        <w:rPr>
          <w:rFonts w:ascii="Times New Roman" w:eastAsia="Times New Roman" w:hAnsi="Times New Roman" w:cs="Times New Roman"/>
          <w:sz w:val="24"/>
          <w:szCs w:val="24"/>
        </w:rPr>
        <w:t xml:space="preserve"> </w:t>
      </w:r>
      <w:proofErr w:type="spellStart"/>
      <w:r w:rsidR="00A47B7E">
        <w:rPr>
          <w:rFonts w:ascii="Times New Roman" w:eastAsia="Times New Roman" w:hAnsi="Times New Roman" w:cs="Times New Roman"/>
          <w:sz w:val="24"/>
          <w:szCs w:val="24"/>
        </w:rPr>
        <w:t>Lepardo</w:t>
      </w:r>
      <w:proofErr w:type="spellEnd"/>
      <w:r w:rsidR="00A47B7E">
        <w:rPr>
          <w:rFonts w:ascii="Times New Roman" w:eastAsia="Times New Roman" w:hAnsi="Times New Roman" w:cs="Times New Roman"/>
          <w:sz w:val="24"/>
          <w:szCs w:val="24"/>
        </w:rPr>
        <w:t xml:space="preserve"> reported on a recipient of a Robyn M. Nelson </w:t>
      </w:r>
      <w:r w:rsidR="00A47B7E" w:rsidRPr="002B0758">
        <w:rPr>
          <w:rFonts w:ascii="Times New Roman" w:eastAsia="Times New Roman" w:hAnsi="Times New Roman" w:cs="Times New Roman"/>
          <w:sz w:val="24"/>
          <w:szCs w:val="24"/>
        </w:rPr>
        <w:t xml:space="preserve">Scholarship, </w:t>
      </w:r>
      <w:r w:rsidR="002B0758" w:rsidRPr="002B0758">
        <w:rPr>
          <w:rFonts w:ascii="Times New Roman" w:eastAsia="Times New Roman" w:hAnsi="Times New Roman" w:cs="Times New Roman"/>
          <w:sz w:val="24"/>
          <w:szCs w:val="24"/>
        </w:rPr>
        <w:t xml:space="preserve">Sarah </w:t>
      </w:r>
      <w:proofErr w:type="spellStart"/>
      <w:r w:rsidR="00A47B7E" w:rsidRPr="002B0758">
        <w:rPr>
          <w:rFonts w:ascii="Times New Roman" w:eastAsia="Times New Roman" w:hAnsi="Times New Roman" w:cs="Times New Roman"/>
          <w:sz w:val="24"/>
          <w:szCs w:val="24"/>
        </w:rPr>
        <w:t>Kassab</w:t>
      </w:r>
      <w:proofErr w:type="spellEnd"/>
      <w:r w:rsidR="00A47B7E" w:rsidRPr="002B0758">
        <w:rPr>
          <w:rFonts w:ascii="Times New Roman" w:eastAsia="Times New Roman" w:hAnsi="Times New Roman" w:cs="Times New Roman"/>
          <w:sz w:val="24"/>
          <w:szCs w:val="24"/>
        </w:rPr>
        <w:t>, who</w:t>
      </w:r>
      <w:r w:rsidR="00A47B7E">
        <w:rPr>
          <w:rFonts w:ascii="Times New Roman" w:eastAsia="Times New Roman" w:hAnsi="Times New Roman" w:cs="Times New Roman"/>
          <w:sz w:val="24"/>
          <w:szCs w:val="24"/>
        </w:rPr>
        <w:t xml:space="preserve"> was awarded $1,000, payable to the institution after the student completes his or her first year. If the tuition had been paid in full, according to the trust terms, the scholarship award should be made payable to the student’s parents. However, Ms. </w:t>
      </w:r>
      <w:proofErr w:type="spellStart"/>
      <w:r w:rsidR="00A47B7E">
        <w:rPr>
          <w:rFonts w:ascii="Times New Roman" w:eastAsia="Times New Roman" w:hAnsi="Times New Roman" w:cs="Times New Roman"/>
          <w:sz w:val="24"/>
          <w:szCs w:val="24"/>
        </w:rPr>
        <w:t>Kassab</w:t>
      </w:r>
      <w:proofErr w:type="spellEnd"/>
      <w:r w:rsidR="00A47B7E">
        <w:rPr>
          <w:rFonts w:ascii="Times New Roman" w:eastAsia="Times New Roman" w:hAnsi="Times New Roman" w:cs="Times New Roman"/>
          <w:sz w:val="24"/>
          <w:szCs w:val="24"/>
        </w:rPr>
        <w:t xml:space="preserve"> indicated that she has been handling the financing of her degree at </w:t>
      </w:r>
      <w:proofErr w:type="spellStart"/>
      <w:r w:rsidR="00A47B7E">
        <w:rPr>
          <w:rFonts w:ascii="Times New Roman" w:eastAsia="Times New Roman" w:hAnsi="Times New Roman" w:cs="Times New Roman"/>
          <w:sz w:val="24"/>
          <w:szCs w:val="24"/>
        </w:rPr>
        <w:t>MassBay</w:t>
      </w:r>
      <w:proofErr w:type="spellEnd"/>
      <w:r w:rsidR="00A47B7E">
        <w:rPr>
          <w:rFonts w:ascii="Times New Roman" w:eastAsia="Times New Roman" w:hAnsi="Times New Roman" w:cs="Times New Roman"/>
          <w:sz w:val="24"/>
          <w:szCs w:val="24"/>
        </w:rPr>
        <w:t xml:space="preserve"> Community College, and asked if the Commission might award the $1,000 to her directly, rather than her parents. Commissioner O’Neil moved to award $1,000 to Ms. </w:t>
      </w:r>
      <w:proofErr w:type="spellStart"/>
      <w:r w:rsidR="00A47B7E">
        <w:rPr>
          <w:rFonts w:ascii="Times New Roman" w:eastAsia="Times New Roman" w:hAnsi="Times New Roman" w:cs="Times New Roman"/>
          <w:sz w:val="24"/>
          <w:szCs w:val="24"/>
        </w:rPr>
        <w:t>Kassab</w:t>
      </w:r>
      <w:proofErr w:type="spellEnd"/>
      <w:r w:rsidR="00A47B7E">
        <w:rPr>
          <w:rFonts w:ascii="Times New Roman" w:eastAsia="Times New Roman" w:hAnsi="Times New Roman" w:cs="Times New Roman"/>
          <w:sz w:val="24"/>
          <w:szCs w:val="24"/>
        </w:rPr>
        <w:t xml:space="preserve">, not the parents, provided that she can prove that she attended for a year and that the tuition was paid in full. </w:t>
      </w:r>
      <w:r w:rsidR="003D2BAA">
        <w:rPr>
          <w:rFonts w:ascii="Times New Roman" w:eastAsia="Times New Roman" w:hAnsi="Times New Roman" w:cs="Times New Roman"/>
          <w:sz w:val="24"/>
          <w:szCs w:val="24"/>
        </w:rPr>
        <w:t>T</w:t>
      </w:r>
      <w:r w:rsidR="00A47B7E">
        <w:rPr>
          <w:rFonts w:ascii="Times New Roman" w:eastAsia="Times New Roman" w:hAnsi="Times New Roman" w:cs="Times New Roman"/>
          <w:sz w:val="24"/>
          <w:szCs w:val="24"/>
        </w:rPr>
        <w:t xml:space="preserve">he motion </w:t>
      </w:r>
      <w:r w:rsidR="002B0758">
        <w:rPr>
          <w:rFonts w:ascii="Times New Roman" w:eastAsia="Times New Roman" w:hAnsi="Times New Roman" w:cs="Times New Roman"/>
          <w:sz w:val="24"/>
          <w:szCs w:val="24"/>
        </w:rPr>
        <w:t>was adopted</w:t>
      </w:r>
      <w:r w:rsidR="00A47B7E">
        <w:rPr>
          <w:rFonts w:ascii="Times New Roman" w:eastAsia="Times New Roman" w:hAnsi="Times New Roman" w:cs="Times New Roman"/>
          <w:sz w:val="24"/>
          <w:szCs w:val="24"/>
        </w:rPr>
        <w:t xml:space="preserve"> by general consent. </w:t>
      </w:r>
    </w:p>
    <w:p w14:paraId="3DDDBCB7" w14:textId="77777777" w:rsidR="00FD7E60" w:rsidRPr="00BE716C" w:rsidRDefault="00FD7E60" w:rsidP="00F25C68">
      <w:pPr>
        <w:spacing w:line="240" w:lineRule="auto"/>
        <w:rPr>
          <w:rFonts w:ascii="Times New Roman" w:eastAsia="Times New Roman" w:hAnsi="Times New Roman" w:cs="Times New Roman"/>
          <w:sz w:val="24"/>
          <w:szCs w:val="24"/>
        </w:rPr>
      </w:pPr>
    </w:p>
    <w:p w14:paraId="151A2DBF" w14:textId="1A6AC201" w:rsidR="00F25C68" w:rsidRPr="00BE716C" w:rsidRDefault="00F500F0" w:rsidP="006B1DB3">
      <w:pPr>
        <w:spacing w:line="240" w:lineRule="auto"/>
        <w:rPr>
          <w:rFonts w:ascii="Times New Roman" w:eastAsia="Times New Roman" w:hAnsi="Times New Roman" w:cs="Times New Roman"/>
          <w:b/>
          <w:bCs/>
          <w:sz w:val="24"/>
          <w:szCs w:val="24"/>
          <w:u w:val="single"/>
        </w:rPr>
      </w:pPr>
      <w:r w:rsidRPr="00BE716C">
        <w:rPr>
          <w:rFonts w:ascii="Times New Roman" w:eastAsia="Times New Roman" w:hAnsi="Times New Roman" w:cs="Times New Roman"/>
          <w:b/>
          <w:bCs/>
          <w:sz w:val="24"/>
          <w:szCs w:val="24"/>
          <w:u w:val="single"/>
        </w:rPr>
        <w:t>Next Meeting</w:t>
      </w:r>
      <w:r w:rsidR="00F25C68" w:rsidRPr="00BE716C">
        <w:rPr>
          <w:rFonts w:ascii="Times New Roman" w:eastAsia="Times New Roman" w:hAnsi="Times New Roman" w:cs="Times New Roman"/>
          <w:b/>
          <w:bCs/>
          <w:sz w:val="24"/>
          <w:szCs w:val="24"/>
          <w:u w:val="single"/>
        </w:rPr>
        <w:t>.</w:t>
      </w:r>
      <w:r w:rsidRPr="00BE716C">
        <w:rPr>
          <w:rFonts w:ascii="Times New Roman" w:eastAsia="Times New Roman" w:hAnsi="Times New Roman" w:cs="Times New Roman"/>
          <w:sz w:val="24"/>
          <w:szCs w:val="24"/>
        </w:rPr>
        <w:t xml:space="preserve"> The Commissioners selected Wednesday, </w:t>
      </w:r>
      <w:r w:rsidR="001646D1">
        <w:rPr>
          <w:rFonts w:ascii="Times New Roman" w:eastAsia="Times New Roman" w:hAnsi="Times New Roman" w:cs="Times New Roman"/>
          <w:sz w:val="24"/>
          <w:szCs w:val="24"/>
        </w:rPr>
        <w:t>February 12, 2020</w:t>
      </w:r>
      <w:r w:rsidRPr="00BE716C">
        <w:rPr>
          <w:rFonts w:ascii="Times New Roman" w:eastAsia="Times New Roman" w:hAnsi="Times New Roman" w:cs="Times New Roman"/>
          <w:sz w:val="24"/>
          <w:szCs w:val="24"/>
        </w:rPr>
        <w:t xml:space="preserve"> as the tentative date for the next meeting</w:t>
      </w:r>
      <w:r w:rsidR="001646D1">
        <w:rPr>
          <w:rFonts w:ascii="Times New Roman" w:eastAsia="Times New Roman" w:hAnsi="Times New Roman" w:cs="Times New Roman"/>
          <w:sz w:val="24"/>
          <w:szCs w:val="24"/>
        </w:rPr>
        <w:t>, to vote on scholarship fund disbursements</w:t>
      </w:r>
      <w:r w:rsidRPr="00BE716C">
        <w:rPr>
          <w:rFonts w:ascii="Times New Roman" w:eastAsia="Times New Roman" w:hAnsi="Times New Roman" w:cs="Times New Roman"/>
          <w:sz w:val="24"/>
          <w:szCs w:val="24"/>
        </w:rPr>
        <w:t xml:space="preserve">. </w:t>
      </w:r>
      <w:r w:rsidR="001646D1">
        <w:rPr>
          <w:rFonts w:ascii="Times New Roman" w:eastAsia="Times New Roman" w:hAnsi="Times New Roman" w:cs="Times New Roman"/>
          <w:sz w:val="24"/>
          <w:szCs w:val="24"/>
        </w:rPr>
        <w:t xml:space="preserve">Commissioner Reynolds will reach out to Superintendent Welch’s office to invite him to attend. </w:t>
      </w:r>
      <w:r w:rsidRPr="00BE716C">
        <w:rPr>
          <w:rFonts w:ascii="Times New Roman" w:eastAsia="Times New Roman" w:hAnsi="Times New Roman" w:cs="Times New Roman"/>
          <w:sz w:val="24"/>
          <w:szCs w:val="24"/>
        </w:rPr>
        <w:t xml:space="preserve"> </w:t>
      </w:r>
    </w:p>
    <w:p w14:paraId="532FD9BC" w14:textId="77777777" w:rsidR="00113292" w:rsidRPr="00BE716C" w:rsidRDefault="00113292">
      <w:pPr>
        <w:spacing w:line="240" w:lineRule="auto"/>
        <w:rPr>
          <w:rFonts w:ascii="Times New Roman" w:eastAsia="Times New Roman" w:hAnsi="Times New Roman" w:cs="Times New Roman"/>
          <w:sz w:val="24"/>
          <w:szCs w:val="24"/>
          <w:highlight w:val="yellow"/>
        </w:rPr>
      </w:pPr>
    </w:p>
    <w:p w14:paraId="347A8C7D" w14:textId="21FE0F32" w:rsidR="0067541D" w:rsidRPr="00BE716C" w:rsidRDefault="00A731DD">
      <w:pPr>
        <w:spacing w:line="240" w:lineRule="auto"/>
        <w:rPr>
          <w:rFonts w:ascii="Times New Roman" w:eastAsia="Times New Roman" w:hAnsi="Times New Roman" w:cs="Times New Roman"/>
          <w:sz w:val="24"/>
          <w:szCs w:val="24"/>
        </w:rPr>
      </w:pPr>
      <w:r w:rsidRPr="00BE716C">
        <w:rPr>
          <w:rFonts w:ascii="Times New Roman" w:eastAsia="Times New Roman" w:hAnsi="Times New Roman" w:cs="Times New Roman"/>
          <w:b/>
          <w:sz w:val="24"/>
          <w:szCs w:val="24"/>
          <w:u w:val="single"/>
        </w:rPr>
        <w:t>New Business:</w:t>
      </w:r>
      <w:r w:rsidRPr="00BE716C">
        <w:rPr>
          <w:rFonts w:ascii="Times New Roman" w:eastAsia="Times New Roman" w:hAnsi="Times New Roman" w:cs="Times New Roman"/>
          <w:b/>
          <w:sz w:val="24"/>
          <w:szCs w:val="24"/>
        </w:rPr>
        <w:t xml:space="preserve"> </w:t>
      </w:r>
      <w:r w:rsidR="00EB7F95">
        <w:rPr>
          <w:rFonts w:ascii="Times New Roman" w:eastAsia="Times New Roman" w:hAnsi="Times New Roman" w:cs="Times New Roman"/>
          <w:bCs/>
          <w:sz w:val="24"/>
          <w:szCs w:val="24"/>
        </w:rPr>
        <w:t xml:space="preserve">There was no new business. </w:t>
      </w:r>
    </w:p>
    <w:p w14:paraId="52F51B0B" w14:textId="77777777" w:rsidR="0067541D" w:rsidRPr="00BE716C" w:rsidRDefault="0067541D" w:rsidP="006B1DB3">
      <w:pPr>
        <w:spacing w:line="240" w:lineRule="auto"/>
        <w:rPr>
          <w:rFonts w:ascii="Times New Roman" w:eastAsia="Times New Roman" w:hAnsi="Times New Roman" w:cs="Times New Roman"/>
          <w:sz w:val="24"/>
          <w:szCs w:val="24"/>
        </w:rPr>
      </w:pPr>
      <w:bookmarkStart w:id="1" w:name="_45fvm57u170p" w:colFirst="0" w:colLast="0"/>
      <w:bookmarkStart w:id="2" w:name="_waaatvj8ga7u" w:colFirst="0" w:colLast="0"/>
      <w:bookmarkEnd w:id="1"/>
      <w:bookmarkEnd w:id="2"/>
    </w:p>
    <w:p w14:paraId="201B58BA" w14:textId="3E44A3B6" w:rsidR="0067541D" w:rsidRPr="00BE716C" w:rsidRDefault="00A731DD">
      <w:pPr>
        <w:spacing w:line="240" w:lineRule="auto"/>
        <w:rPr>
          <w:rFonts w:ascii="Times New Roman" w:eastAsia="Times New Roman" w:hAnsi="Times New Roman" w:cs="Times New Roman"/>
          <w:sz w:val="24"/>
          <w:szCs w:val="24"/>
        </w:rPr>
      </w:pPr>
      <w:bookmarkStart w:id="3" w:name="_l5ma8ks9q7jk" w:colFirst="0" w:colLast="0"/>
      <w:bookmarkEnd w:id="3"/>
      <w:r w:rsidRPr="00BE716C">
        <w:rPr>
          <w:rFonts w:ascii="Times New Roman" w:eastAsia="Times New Roman" w:hAnsi="Times New Roman" w:cs="Times New Roman"/>
          <w:sz w:val="24"/>
          <w:szCs w:val="24"/>
        </w:rPr>
        <w:t xml:space="preserve">The meeting was adjourned </w:t>
      </w:r>
      <w:r w:rsidR="006B1DB3" w:rsidRPr="00BE716C">
        <w:rPr>
          <w:rFonts w:ascii="Times New Roman" w:eastAsia="Times New Roman" w:hAnsi="Times New Roman" w:cs="Times New Roman"/>
          <w:sz w:val="24"/>
          <w:szCs w:val="24"/>
        </w:rPr>
        <w:t xml:space="preserve">at </w:t>
      </w:r>
      <w:r w:rsidR="00F500F0" w:rsidRPr="00BE716C">
        <w:rPr>
          <w:rFonts w:ascii="Times New Roman" w:eastAsia="Times New Roman" w:hAnsi="Times New Roman" w:cs="Times New Roman"/>
          <w:b/>
          <w:bCs/>
          <w:sz w:val="24"/>
          <w:szCs w:val="24"/>
        </w:rPr>
        <w:t>8:</w:t>
      </w:r>
      <w:r w:rsidR="001646D1">
        <w:rPr>
          <w:rFonts w:ascii="Times New Roman" w:eastAsia="Times New Roman" w:hAnsi="Times New Roman" w:cs="Times New Roman"/>
          <w:b/>
          <w:bCs/>
          <w:sz w:val="24"/>
          <w:szCs w:val="24"/>
        </w:rPr>
        <w:t>2</w:t>
      </w:r>
      <w:r w:rsidR="00F500F0" w:rsidRPr="00BE716C">
        <w:rPr>
          <w:rFonts w:ascii="Times New Roman" w:eastAsia="Times New Roman" w:hAnsi="Times New Roman" w:cs="Times New Roman"/>
          <w:b/>
          <w:bCs/>
          <w:sz w:val="24"/>
          <w:szCs w:val="24"/>
        </w:rPr>
        <w:t>5</w:t>
      </w:r>
      <w:r w:rsidR="001753AB" w:rsidRPr="00BE716C">
        <w:rPr>
          <w:rFonts w:ascii="Times New Roman" w:eastAsia="Times New Roman" w:hAnsi="Times New Roman" w:cs="Times New Roman"/>
          <w:b/>
          <w:bCs/>
          <w:sz w:val="24"/>
          <w:szCs w:val="24"/>
        </w:rPr>
        <w:t xml:space="preserve"> </w:t>
      </w:r>
      <w:r w:rsidRPr="00BE716C">
        <w:rPr>
          <w:rFonts w:ascii="Times New Roman" w:eastAsia="Times New Roman" w:hAnsi="Times New Roman" w:cs="Times New Roman"/>
          <w:b/>
          <w:bCs/>
          <w:sz w:val="24"/>
          <w:szCs w:val="24"/>
        </w:rPr>
        <w:t>PM</w:t>
      </w:r>
      <w:r w:rsidRPr="00BE716C">
        <w:rPr>
          <w:rFonts w:ascii="Times New Roman" w:eastAsia="Times New Roman" w:hAnsi="Times New Roman" w:cs="Times New Roman"/>
          <w:sz w:val="24"/>
          <w:szCs w:val="24"/>
        </w:rPr>
        <w:t xml:space="preserve"> EST.</w:t>
      </w:r>
    </w:p>
    <w:p w14:paraId="5427A858" w14:textId="77777777" w:rsidR="0067541D" w:rsidRPr="00BE716C" w:rsidRDefault="0067541D">
      <w:pPr>
        <w:spacing w:line="240" w:lineRule="auto"/>
        <w:rPr>
          <w:rFonts w:ascii="Times New Roman" w:eastAsia="Times New Roman" w:hAnsi="Times New Roman" w:cs="Times New Roman"/>
          <w:sz w:val="24"/>
          <w:szCs w:val="24"/>
        </w:rPr>
      </w:pPr>
      <w:bookmarkStart w:id="4" w:name="_umbfp6aoo3rg" w:colFirst="0" w:colLast="0"/>
      <w:bookmarkEnd w:id="4"/>
    </w:p>
    <w:p w14:paraId="64B798C6" w14:textId="1DF5E1BE" w:rsidR="0067541D" w:rsidRPr="00BE716C" w:rsidRDefault="00A731DD" w:rsidP="00A732F0">
      <w:pPr>
        <w:spacing w:line="240" w:lineRule="auto"/>
        <w:rPr>
          <w:rFonts w:ascii="Times New Roman" w:eastAsia="Times New Roman" w:hAnsi="Times New Roman" w:cs="Times New Roman"/>
          <w:i/>
          <w:sz w:val="24"/>
          <w:szCs w:val="24"/>
        </w:rPr>
      </w:pPr>
      <w:bookmarkStart w:id="5" w:name="_l2el3dmwzf5p" w:colFirst="0" w:colLast="0"/>
      <w:bookmarkEnd w:id="5"/>
      <w:r w:rsidRPr="00BE716C">
        <w:rPr>
          <w:rFonts w:ascii="Times New Roman" w:eastAsia="Times New Roman" w:hAnsi="Times New Roman" w:cs="Times New Roman"/>
          <w:i/>
          <w:sz w:val="24"/>
          <w:szCs w:val="24"/>
        </w:rPr>
        <w:t>Respectfully submitted by Commission Clerk Emily M. Reynolds</w:t>
      </w:r>
      <w:bookmarkStart w:id="6" w:name="_7nornay8iw01" w:colFirst="0" w:colLast="0"/>
      <w:bookmarkStart w:id="7" w:name="_gjdgxs" w:colFirst="0" w:colLast="0"/>
      <w:bookmarkEnd w:id="6"/>
      <w:bookmarkEnd w:id="7"/>
    </w:p>
    <w:sectPr w:rsidR="0067541D" w:rsidRPr="00BE716C" w:rsidSect="007D7A27">
      <w:headerReference w:type="default" r:id="rId8"/>
      <w:footerReference w:type="even" r:id="rId9"/>
      <w:footerReference w:type="default" r:id="rId10"/>
      <w:headerReference w:type="first" r:id="rId11"/>
      <w:pgSz w:w="12240" w:h="15840"/>
      <w:pgMar w:top="1440" w:right="144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AAB65" w14:textId="77777777" w:rsidR="005C5BC0" w:rsidRDefault="005C5BC0" w:rsidP="000114A9">
      <w:pPr>
        <w:spacing w:line="240" w:lineRule="auto"/>
      </w:pPr>
      <w:r>
        <w:separator/>
      </w:r>
    </w:p>
  </w:endnote>
  <w:endnote w:type="continuationSeparator" w:id="0">
    <w:p w14:paraId="15D26F26" w14:textId="77777777" w:rsidR="005C5BC0" w:rsidRDefault="005C5BC0" w:rsidP="000114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8897266"/>
      <w:docPartObj>
        <w:docPartGallery w:val="Page Numbers (Bottom of Page)"/>
        <w:docPartUnique/>
      </w:docPartObj>
    </w:sdtPr>
    <w:sdtEndPr>
      <w:rPr>
        <w:rStyle w:val="PageNumber"/>
      </w:rPr>
    </w:sdtEndPr>
    <w:sdtContent>
      <w:p w14:paraId="2CE0E35E" w14:textId="12E6FD5F" w:rsidR="000114A9" w:rsidRDefault="000114A9" w:rsidP="008D28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635383" w14:textId="77777777" w:rsidR="000114A9" w:rsidRDefault="00011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91D7C" w14:textId="63FFCD33" w:rsidR="000114A9" w:rsidRPr="00435925" w:rsidRDefault="000114A9" w:rsidP="008D28E8">
    <w:pPr>
      <w:pStyle w:val="Footer"/>
      <w:framePr w:wrap="none" w:vAnchor="text" w:hAnchor="margin" w:xAlign="center" w:y="1"/>
      <w:rPr>
        <w:rStyle w:val="PageNumber"/>
        <w:rFonts w:ascii="Times New Roman" w:hAnsi="Times New Roman" w:cs="Times New Roman"/>
        <w:sz w:val="24"/>
        <w:szCs w:val="24"/>
      </w:rPr>
    </w:pPr>
  </w:p>
  <w:p w14:paraId="2A99EEAD" w14:textId="77777777" w:rsidR="000114A9" w:rsidRPr="00435925" w:rsidRDefault="000114A9" w:rsidP="008A726C">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07D20C" w14:textId="77777777" w:rsidR="005C5BC0" w:rsidRDefault="005C5BC0" w:rsidP="000114A9">
      <w:pPr>
        <w:spacing w:line="240" w:lineRule="auto"/>
      </w:pPr>
      <w:r>
        <w:separator/>
      </w:r>
    </w:p>
  </w:footnote>
  <w:footnote w:type="continuationSeparator" w:id="0">
    <w:p w14:paraId="452AF4E3" w14:textId="77777777" w:rsidR="005C5BC0" w:rsidRDefault="005C5BC0" w:rsidP="000114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BABC" w14:textId="77777777" w:rsidR="000F0481" w:rsidRPr="000F0481" w:rsidRDefault="000F0481" w:rsidP="000F0481">
    <w:pPr>
      <w:pStyle w:val="Header"/>
      <w:rPr>
        <w:rFonts w:ascii="Times New Roman" w:hAnsi="Times New Roman" w:cs="Times New Roman"/>
        <w:sz w:val="24"/>
        <w:szCs w:val="24"/>
        <w:lang w:val="en-US"/>
      </w:rPr>
    </w:pPr>
    <w:r w:rsidRPr="000F0481">
      <w:rPr>
        <w:rFonts w:ascii="Times New Roman" w:hAnsi="Times New Roman" w:cs="Times New Roman"/>
        <w:sz w:val="24"/>
        <w:szCs w:val="24"/>
        <w:lang w:val="en-US"/>
      </w:rPr>
      <w:t>Dedham Trust Fund Commission Minutes</w:t>
    </w:r>
  </w:p>
  <w:p w14:paraId="6D75913D" w14:textId="59FE866E" w:rsidR="000F0481" w:rsidRPr="000F0481" w:rsidRDefault="000F0481" w:rsidP="000F0481">
    <w:pPr>
      <w:pStyle w:val="Header"/>
      <w:rPr>
        <w:rFonts w:ascii="Times New Roman" w:hAnsi="Times New Roman" w:cs="Times New Roman"/>
        <w:sz w:val="24"/>
        <w:szCs w:val="24"/>
        <w:lang w:val="en-US"/>
      </w:rPr>
    </w:pPr>
    <w:r w:rsidRPr="000F0481">
      <w:rPr>
        <w:rFonts w:ascii="Times New Roman" w:hAnsi="Times New Roman" w:cs="Times New Roman"/>
        <w:sz w:val="24"/>
        <w:szCs w:val="24"/>
        <w:lang w:val="en-US"/>
      </w:rPr>
      <w:t xml:space="preserve">Meeting of </w:t>
    </w:r>
    <w:r w:rsidR="00FD7E60">
      <w:rPr>
        <w:rFonts w:ascii="Times New Roman" w:hAnsi="Times New Roman" w:cs="Times New Roman"/>
        <w:sz w:val="24"/>
        <w:szCs w:val="24"/>
        <w:lang w:val="en-US"/>
      </w:rPr>
      <w:t>November 20</w:t>
    </w:r>
    <w:r w:rsidR="003B64E3">
      <w:rPr>
        <w:rFonts w:ascii="Times New Roman" w:hAnsi="Times New Roman" w:cs="Times New Roman"/>
        <w:sz w:val="24"/>
        <w:szCs w:val="24"/>
        <w:lang w:val="en-US"/>
      </w:rPr>
      <w:t>, 2019</w:t>
    </w:r>
  </w:p>
  <w:sdt>
    <w:sdtPr>
      <w:rPr>
        <w:rFonts w:ascii="Times New Roman" w:hAnsi="Times New Roman" w:cs="Times New Roman"/>
        <w:sz w:val="24"/>
        <w:szCs w:val="24"/>
      </w:rPr>
      <w:id w:val="1168209085"/>
      <w:docPartObj>
        <w:docPartGallery w:val="Page Numbers (Top of Page)"/>
        <w:docPartUnique/>
      </w:docPartObj>
    </w:sdtPr>
    <w:sdtEndPr/>
    <w:sdtContent>
      <w:p w14:paraId="1A1EEC08" w14:textId="77777777" w:rsidR="000F0481" w:rsidRPr="000F0481" w:rsidRDefault="000F0481" w:rsidP="000F0481">
        <w:pPr>
          <w:pStyle w:val="Header"/>
          <w:rPr>
            <w:rFonts w:ascii="Times New Roman" w:hAnsi="Times New Roman" w:cs="Times New Roman"/>
            <w:sz w:val="24"/>
            <w:szCs w:val="24"/>
          </w:rPr>
        </w:pPr>
        <w:r w:rsidRPr="000F0481">
          <w:rPr>
            <w:rFonts w:ascii="Times New Roman" w:hAnsi="Times New Roman" w:cs="Times New Roman"/>
            <w:sz w:val="24"/>
            <w:szCs w:val="24"/>
          </w:rPr>
          <w:t xml:space="preserve">Page </w:t>
        </w:r>
        <w:r w:rsidRPr="000F0481">
          <w:rPr>
            <w:rFonts w:ascii="Times New Roman" w:hAnsi="Times New Roman" w:cs="Times New Roman"/>
            <w:bCs/>
            <w:sz w:val="24"/>
            <w:szCs w:val="24"/>
          </w:rPr>
          <w:fldChar w:fldCharType="begin"/>
        </w:r>
        <w:r w:rsidRPr="000F0481">
          <w:rPr>
            <w:rFonts w:ascii="Times New Roman" w:hAnsi="Times New Roman" w:cs="Times New Roman"/>
            <w:bCs/>
            <w:sz w:val="24"/>
            <w:szCs w:val="24"/>
          </w:rPr>
          <w:instrText xml:space="preserve"> PAGE </w:instrText>
        </w:r>
        <w:r w:rsidRPr="000F0481">
          <w:rPr>
            <w:rFonts w:ascii="Times New Roman" w:hAnsi="Times New Roman" w:cs="Times New Roman"/>
            <w:bCs/>
            <w:sz w:val="24"/>
            <w:szCs w:val="24"/>
          </w:rPr>
          <w:fldChar w:fldCharType="separate"/>
        </w:r>
        <w:r w:rsidR="002949D5">
          <w:rPr>
            <w:rFonts w:ascii="Times New Roman" w:hAnsi="Times New Roman" w:cs="Times New Roman"/>
            <w:bCs/>
            <w:noProof/>
            <w:sz w:val="24"/>
            <w:szCs w:val="24"/>
          </w:rPr>
          <w:t>3</w:t>
        </w:r>
        <w:r w:rsidRPr="000F0481">
          <w:rPr>
            <w:rFonts w:ascii="Times New Roman" w:hAnsi="Times New Roman" w:cs="Times New Roman"/>
            <w:bCs/>
            <w:sz w:val="24"/>
            <w:szCs w:val="24"/>
          </w:rPr>
          <w:fldChar w:fldCharType="end"/>
        </w:r>
        <w:r w:rsidRPr="000F0481">
          <w:rPr>
            <w:rFonts w:ascii="Times New Roman" w:hAnsi="Times New Roman" w:cs="Times New Roman"/>
            <w:sz w:val="24"/>
            <w:szCs w:val="24"/>
          </w:rPr>
          <w:t xml:space="preserve"> of </w:t>
        </w:r>
        <w:r w:rsidRPr="000F0481">
          <w:rPr>
            <w:rFonts w:ascii="Times New Roman" w:hAnsi="Times New Roman" w:cs="Times New Roman"/>
            <w:bCs/>
            <w:sz w:val="24"/>
            <w:szCs w:val="24"/>
          </w:rPr>
          <w:fldChar w:fldCharType="begin"/>
        </w:r>
        <w:r w:rsidRPr="000F0481">
          <w:rPr>
            <w:rFonts w:ascii="Times New Roman" w:hAnsi="Times New Roman" w:cs="Times New Roman"/>
            <w:bCs/>
            <w:sz w:val="24"/>
            <w:szCs w:val="24"/>
          </w:rPr>
          <w:instrText xml:space="preserve"> NUMPAGES  </w:instrText>
        </w:r>
        <w:r w:rsidRPr="000F0481">
          <w:rPr>
            <w:rFonts w:ascii="Times New Roman" w:hAnsi="Times New Roman" w:cs="Times New Roman"/>
            <w:bCs/>
            <w:sz w:val="24"/>
            <w:szCs w:val="24"/>
          </w:rPr>
          <w:fldChar w:fldCharType="separate"/>
        </w:r>
        <w:r w:rsidR="002949D5">
          <w:rPr>
            <w:rFonts w:ascii="Times New Roman" w:hAnsi="Times New Roman" w:cs="Times New Roman"/>
            <w:bCs/>
            <w:noProof/>
            <w:sz w:val="24"/>
            <w:szCs w:val="24"/>
          </w:rPr>
          <w:t>4</w:t>
        </w:r>
        <w:r w:rsidRPr="000F0481">
          <w:rPr>
            <w:rFonts w:ascii="Times New Roman" w:hAnsi="Times New Roman" w:cs="Times New Roman"/>
            <w:bCs/>
            <w:sz w:val="24"/>
            <w:szCs w:val="24"/>
          </w:rPr>
          <w:fldChar w:fldCharType="end"/>
        </w:r>
      </w:p>
    </w:sdtContent>
  </w:sdt>
  <w:p w14:paraId="62E1B768" w14:textId="77777777" w:rsidR="000F0481" w:rsidRPr="00435925" w:rsidRDefault="000F0481" w:rsidP="00435925">
    <w:pPr>
      <w:pStyle w:val="Header"/>
      <w:spacing w:after="120"/>
      <w:rPr>
        <w:rFonts w:ascii="Times New Roman" w:hAnsi="Times New Roman" w:cs="Times New Roman"/>
        <w:sz w:val="24"/>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EE05E" w14:textId="2A880E32" w:rsidR="00956B0C" w:rsidRDefault="00956B0C" w:rsidP="00956B0C">
    <w:pPr>
      <w:pStyle w:val="Header"/>
      <w:jc w:val="center"/>
    </w:pPr>
    <w:r>
      <w:rPr>
        <w:noProof/>
        <w:lang w:val="en-US"/>
      </w:rPr>
      <w:drawing>
        <wp:inline distT="0" distB="0" distL="0" distR="0" wp14:anchorId="0754E0DE" wp14:editId="33A05FCD">
          <wp:extent cx="1213485" cy="124396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12439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9510F"/>
    <w:multiLevelType w:val="hybridMultilevel"/>
    <w:tmpl w:val="CB622D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00136C3"/>
    <w:multiLevelType w:val="hybridMultilevel"/>
    <w:tmpl w:val="44B89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E6978"/>
    <w:multiLevelType w:val="hybridMultilevel"/>
    <w:tmpl w:val="742C5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41D"/>
    <w:rsid w:val="000047F3"/>
    <w:rsid w:val="000114A9"/>
    <w:rsid w:val="00011CC3"/>
    <w:rsid w:val="00013CFB"/>
    <w:rsid w:val="0001529A"/>
    <w:rsid w:val="0003568C"/>
    <w:rsid w:val="000514DF"/>
    <w:rsid w:val="00056971"/>
    <w:rsid w:val="0006308B"/>
    <w:rsid w:val="000C73BE"/>
    <w:rsid w:val="000D467A"/>
    <w:rsid w:val="000E28CC"/>
    <w:rsid w:val="000E7954"/>
    <w:rsid w:val="000F0481"/>
    <w:rsid w:val="00113292"/>
    <w:rsid w:val="001322C1"/>
    <w:rsid w:val="00141F69"/>
    <w:rsid w:val="0014781D"/>
    <w:rsid w:val="001608EC"/>
    <w:rsid w:val="001646D1"/>
    <w:rsid w:val="00165ED2"/>
    <w:rsid w:val="00167112"/>
    <w:rsid w:val="00171F21"/>
    <w:rsid w:val="001753AB"/>
    <w:rsid w:val="0018777C"/>
    <w:rsid w:val="001905A9"/>
    <w:rsid w:val="001B4E71"/>
    <w:rsid w:val="001B6AE5"/>
    <w:rsid w:val="001F6B1A"/>
    <w:rsid w:val="00214ED6"/>
    <w:rsid w:val="002262B8"/>
    <w:rsid w:val="00231519"/>
    <w:rsid w:val="002316E2"/>
    <w:rsid w:val="0025201F"/>
    <w:rsid w:val="00261934"/>
    <w:rsid w:val="002906B2"/>
    <w:rsid w:val="002949D5"/>
    <w:rsid w:val="002B0758"/>
    <w:rsid w:val="002B6DF0"/>
    <w:rsid w:val="00311AC8"/>
    <w:rsid w:val="00313144"/>
    <w:rsid w:val="00320598"/>
    <w:rsid w:val="00322B16"/>
    <w:rsid w:val="003322FB"/>
    <w:rsid w:val="003436CE"/>
    <w:rsid w:val="00361059"/>
    <w:rsid w:val="00361651"/>
    <w:rsid w:val="00366427"/>
    <w:rsid w:val="0037430D"/>
    <w:rsid w:val="00397DC6"/>
    <w:rsid w:val="003B64E3"/>
    <w:rsid w:val="003D2BAA"/>
    <w:rsid w:val="00411126"/>
    <w:rsid w:val="004309C3"/>
    <w:rsid w:val="00432F40"/>
    <w:rsid w:val="00435925"/>
    <w:rsid w:val="004422A2"/>
    <w:rsid w:val="00447FEF"/>
    <w:rsid w:val="004E68FE"/>
    <w:rsid w:val="004F5A7D"/>
    <w:rsid w:val="0050082F"/>
    <w:rsid w:val="005427F4"/>
    <w:rsid w:val="005A1908"/>
    <w:rsid w:val="005C34A1"/>
    <w:rsid w:val="005C5BC0"/>
    <w:rsid w:val="005F5848"/>
    <w:rsid w:val="005F5986"/>
    <w:rsid w:val="00607232"/>
    <w:rsid w:val="00634FA7"/>
    <w:rsid w:val="00643324"/>
    <w:rsid w:val="0067541D"/>
    <w:rsid w:val="00681D4E"/>
    <w:rsid w:val="006A44E7"/>
    <w:rsid w:val="006B1DB3"/>
    <w:rsid w:val="006B3371"/>
    <w:rsid w:val="006D11F9"/>
    <w:rsid w:val="00724172"/>
    <w:rsid w:val="00730E4E"/>
    <w:rsid w:val="007402C3"/>
    <w:rsid w:val="007B4DE4"/>
    <w:rsid w:val="007D7A27"/>
    <w:rsid w:val="007E6FD1"/>
    <w:rsid w:val="007F4811"/>
    <w:rsid w:val="008124BD"/>
    <w:rsid w:val="00816FBA"/>
    <w:rsid w:val="00854C35"/>
    <w:rsid w:val="00857ED5"/>
    <w:rsid w:val="008607E3"/>
    <w:rsid w:val="00871D02"/>
    <w:rsid w:val="008A726C"/>
    <w:rsid w:val="008C6E0C"/>
    <w:rsid w:val="008D3576"/>
    <w:rsid w:val="008D3AD8"/>
    <w:rsid w:val="00902B4C"/>
    <w:rsid w:val="009100F9"/>
    <w:rsid w:val="00913509"/>
    <w:rsid w:val="0091679B"/>
    <w:rsid w:val="00952198"/>
    <w:rsid w:val="00952DCD"/>
    <w:rsid w:val="00956B0C"/>
    <w:rsid w:val="00965FEA"/>
    <w:rsid w:val="00966EB5"/>
    <w:rsid w:val="009912D5"/>
    <w:rsid w:val="009A12DB"/>
    <w:rsid w:val="009C630E"/>
    <w:rsid w:val="009D408F"/>
    <w:rsid w:val="009D4496"/>
    <w:rsid w:val="009E339F"/>
    <w:rsid w:val="00A31D90"/>
    <w:rsid w:val="00A34F6C"/>
    <w:rsid w:val="00A40EE1"/>
    <w:rsid w:val="00A413FD"/>
    <w:rsid w:val="00A47B7E"/>
    <w:rsid w:val="00A731DD"/>
    <w:rsid w:val="00A732F0"/>
    <w:rsid w:val="00AA436C"/>
    <w:rsid w:val="00AC7DCC"/>
    <w:rsid w:val="00AD3B92"/>
    <w:rsid w:val="00B37FA4"/>
    <w:rsid w:val="00B578D9"/>
    <w:rsid w:val="00B66C8C"/>
    <w:rsid w:val="00BD2F42"/>
    <w:rsid w:val="00BD3D42"/>
    <w:rsid w:val="00BD4263"/>
    <w:rsid w:val="00BD71E2"/>
    <w:rsid w:val="00BE716C"/>
    <w:rsid w:val="00BF5F06"/>
    <w:rsid w:val="00C00059"/>
    <w:rsid w:val="00C026EC"/>
    <w:rsid w:val="00C02BC7"/>
    <w:rsid w:val="00C45F5F"/>
    <w:rsid w:val="00C50007"/>
    <w:rsid w:val="00C56F97"/>
    <w:rsid w:val="00C67968"/>
    <w:rsid w:val="00C95727"/>
    <w:rsid w:val="00C95897"/>
    <w:rsid w:val="00CD4F29"/>
    <w:rsid w:val="00D66D22"/>
    <w:rsid w:val="00D90588"/>
    <w:rsid w:val="00DE6DD3"/>
    <w:rsid w:val="00E06BED"/>
    <w:rsid w:val="00E11CCE"/>
    <w:rsid w:val="00E227B6"/>
    <w:rsid w:val="00E47935"/>
    <w:rsid w:val="00E50FF9"/>
    <w:rsid w:val="00E848B8"/>
    <w:rsid w:val="00E857DE"/>
    <w:rsid w:val="00EA4A26"/>
    <w:rsid w:val="00EB7F95"/>
    <w:rsid w:val="00EC5ACD"/>
    <w:rsid w:val="00ED165E"/>
    <w:rsid w:val="00EF39E4"/>
    <w:rsid w:val="00F030EB"/>
    <w:rsid w:val="00F25C68"/>
    <w:rsid w:val="00F273AF"/>
    <w:rsid w:val="00F41949"/>
    <w:rsid w:val="00F458BF"/>
    <w:rsid w:val="00F500F0"/>
    <w:rsid w:val="00F54F51"/>
    <w:rsid w:val="00F95515"/>
    <w:rsid w:val="00FA4946"/>
    <w:rsid w:val="00FA65A5"/>
    <w:rsid w:val="00FB5E98"/>
    <w:rsid w:val="00FC74C9"/>
    <w:rsid w:val="00FD7E60"/>
    <w:rsid w:val="00FE09F1"/>
    <w:rsid w:val="00FF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1600B"/>
  <w15:docId w15:val="{C30920A3-F297-4EBB-9078-D8C85F1B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50F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FF9"/>
    <w:rPr>
      <w:rFonts w:ascii="Tahoma" w:hAnsi="Tahoma" w:cs="Tahoma"/>
      <w:sz w:val="16"/>
      <w:szCs w:val="16"/>
    </w:rPr>
  </w:style>
  <w:style w:type="paragraph" w:styleId="Header">
    <w:name w:val="header"/>
    <w:basedOn w:val="Normal"/>
    <w:link w:val="HeaderChar"/>
    <w:uiPriority w:val="99"/>
    <w:unhideWhenUsed/>
    <w:rsid w:val="000114A9"/>
    <w:pPr>
      <w:tabs>
        <w:tab w:val="center" w:pos="4680"/>
        <w:tab w:val="right" w:pos="9360"/>
      </w:tabs>
      <w:spacing w:line="240" w:lineRule="auto"/>
    </w:pPr>
  </w:style>
  <w:style w:type="character" w:customStyle="1" w:styleId="HeaderChar">
    <w:name w:val="Header Char"/>
    <w:basedOn w:val="DefaultParagraphFont"/>
    <w:link w:val="Header"/>
    <w:uiPriority w:val="99"/>
    <w:rsid w:val="000114A9"/>
  </w:style>
  <w:style w:type="paragraph" w:styleId="Footer">
    <w:name w:val="footer"/>
    <w:basedOn w:val="Normal"/>
    <w:link w:val="FooterChar"/>
    <w:uiPriority w:val="99"/>
    <w:unhideWhenUsed/>
    <w:rsid w:val="000114A9"/>
    <w:pPr>
      <w:tabs>
        <w:tab w:val="center" w:pos="4680"/>
        <w:tab w:val="right" w:pos="9360"/>
      </w:tabs>
      <w:spacing w:line="240" w:lineRule="auto"/>
    </w:pPr>
  </w:style>
  <w:style w:type="character" w:customStyle="1" w:styleId="FooterChar">
    <w:name w:val="Footer Char"/>
    <w:basedOn w:val="DefaultParagraphFont"/>
    <w:link w:val="Footer"/>
    <w:uiPriority w:val="99"/>
    <w:rsid w:val="000114A9"/>
  </w:style>
  <w:style w:type="character" w:styleId="PageNumber">
    <w:name w:val="page number"/>
    <w:basedOn w:val="DefaultParagraphFont"/>
    <w:uiPriority w:val="99"/>
    <w:semiHidden/>
    <w:unhideWhenUsed/>
    <w:rsid w:val="000114A9"/>
  </w:style>
  <w:style w:type="paragraph" w:styleId="NormalWeb">
    <w:name w:val="Normal (Web)"/>
    <w:basedOn w:val="Normal"/>
    <w:uiPriority w:val="99"/>
    <w:unhideWhenUsed/>
    <w:rsid w:val="001132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0514DF"/>
    <w:rPr>
      <w:sz w:val="16"/>
      <w:szCs w:val="16"/>
    </w:rPr>
  </w:style>
  <w:style w:type="paragraph" w:styleId="CommentText">
    <w:name w:val="annotation text"/>
    <w:basedOn w:val="Normal"/>
    <w:link w:val="CommentTextChar"/>
    <w:uiPriority w:val="99"/>
    <w:semiHidden/>
    <w:unhideWhenUsed/>
    <w:rsid w:val="000514DF"/>
    <w:pPr>
      <w:spacing w:line="240" w:lineRule="auto"/>
    </w:pPr>
    <w:rPr>
      <w:sz w:val="20"/>
      <w:szCs w:val="20"/>
    </w:rPr>
  </w:style>
  <w:style w:type="character" w:customStyle="1" w:styleId="CommentTextChar">
    <w:name w:val="Comment Text Char"/>
    <w:basedOn w:val="DefaultParagraphFont"/>
    <w:link w:val="CommentText"/>
    <w:uiPriority w:val="99"/>
    <w:semiHidden/>
    <w:rsid w:val="000514DF"/>
    <w:rPr>
      <w:sz w:val="20"/>
      <w:szCs w:val="20"/>
    </w:rPr>
  </w:style>
  <w:style w:type="paragraph" w:styleId="CommentSubject">
    <w:name w:val="annotation subject"/>
    <w:basedOn w:val="CommentText"/>
    <w:next w:val="CommentText"/>
    <w:link w:val="CommentSubjectChar"/>
    <w:uiPriority w:val="99"/>
    <w:semiHidden/>
    <w:unhideWhenUsed/>
    <w:rsid w:val="000514DF"/>
    <w:rPr>
      <w:b/>
      <w:bCs/>
    </w:rPr>
  </w:style>
  <w:style w:type="character" w:customStyle="1" w:styleId="CommentSubjectChar">
    <w:name w:val="Comment Subject Char"/>
    <w:basedOn w:val="CommentTextChar"/>
    <w:link w:val="CommentSubject"/>
    <w:uiPriority w:val="99"/>
    <w:semiHidden/>
    <w:rsid w:val="000514DF"/>
    <w:rPr>
      <w:b/>
      <w:bCs/>
      <w:sz w:val="20"/>
      <w:szCs w:val="20"/>
    </w:rPr>
  </w:style>
  <w:style w:type="paragraph" w:styleId="ListParagraph">
    <w:name w:val="List Paragraph"/>
    <w:basedOn w:val="Normal"/>
    <w:uiPriority w:val="34"/>
    <w:qFormat/>
    <w:rsid w:val="00730E4E"/>
    <w:pPr>
      <w:spacing w:line="240" w:lineRule="auto"/>
      <w:ind w:left="720"/>
      <w:contextualSpacing/>
    </w:pPr>
    <w:rPr>
      <w:rFonts w:ascii="Book Antiqua" w:eastAsia="Book Antiqua" w:hAnsi="Book Antiqua" w:cs="Book Antiqua"/>
      <w:sz w:val="24"/>
      <w:szCs w:val="24"/>
      <w:lang w:val="en-US"/>
    </w:rPr>
  </w:style>
  <w:style w:type="table" w:styleId="TableGrid">
    <w:name w:val="Table Grid"/>
    <w:basedOn w:val="TableNormal"/>
    <w:uiPriority w:val="59"/>
    <w:rsid w:val="007402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797289">
      <w:bodyDiv w:val="1"/>
      <w:marLeft w:val="0"/>
      <w:marRight w:val="0"/>
      <w:marTop w:val="0"/>
      <w:marBottom w:val="0"/>
      <w:divBdr>
        <w:top w:val="none" w:sz="0" w:space="0" w:color="auto"/>
        <w:left w:val="none" w:sz="0" w:space="0" w:color="auto"/>
        <w:bottom w:val="none" w:sz="0" w:space="0" w:color="auto"/>
        <w:right w:val="none" w:sz="0" w:space="0" w:color="auto"/>
      </w:divBdr>
    </w:div>
    <w:div w:id="1383285421">
      <w:bodyDiv w:val="1"/>
      <w:marLeft w:val="0"/>
      <w:marRight w:val="0"/>
      <w:marTop w:val="0"/>
      <w:marBottom w:val="0"/>
      <w:divBdr>
        <w:top w:val="none" w:sz="0" w:space="0" w:color="auto"/>
        <w:left w:val="none" w:sz="0" w:space="0" w:color="auto"/>
        <w:bottom w:val="none" w:sz="0" w:space="0" w:color="auto"/>
        <w:right w:val="none" w:sz="0" w:space="0" w:color="auto"/>
      </w:divBdr>
    </w:div>
    <w:div w:id="205476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471F7-7E35-45D2-9B7A-8AF5A8A1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 Reynolds</cp:lastModifiedBy>
  <cp:revision>2</cp:revision>
  <cp:lastPrinted>2019-09-02T20:07:00Z</cp:lastPrinted>
  <dcterms:created xsi:type="dcterms:W3CDTF">2020-02-23T20:04:00Z</dcterms:created>
  <dcterms:modified xsi:type="dcterms:W3CDTF">2020-02-23T20:04:00Z</dcterms:modified>
</cp:coreProperties>
</file>