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7C83F" w14:textId="02F08302" w:rsidR="00F338A3" w:rsidRDefault="0035648E" w:rsidP="00307637">
      <w:pPr>
        <w:pStyle w:val="NoSpacing"/>
        <w:tabs>
          <w:tab w:val="center" w:pos="50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Minutes of</w:t>
      </w:r>
      <w:r w:rsidR="007B65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07C3">
        <w:rPr>
          <w:rFonts w:ascii="Times New Roman" w:hAnsi="Times New Roman" w:cs="Times New Roman"/>
          <w:b/>
          <w:sz w:val="24"/>
          <w:szCs w:val="24"/>
        </w:rPr>
        <w:t>March</w:t>
      </w:r>
      <w:r w:rsidR="007B65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07C3">
        <w:rPr>
          <w:rFonts w:ascii="Times New Roman" w:hAnsi="Times New Roman" w:cs="Times New Roman"/>
          <w:b/>
          <w:sz w:val="24"/>
          <w:szCs w:val="24"/>
        </w:rPr>
        <w:t xml:space="preserve">5, </w:t>
      </w:r>
      <w:r w:rsidR="004D58CA">
        <w:rPr>
          <w:rFonts w:ascii="Times New Roman" w:hAnsi="Times New Roman" w:cs="Times New Roman"/>
          <w:b/>
          <w:sz w:val="24"/>
          <w:szCs w:val="24"/>
        </w:rPr>
        <w:t>20</w:t>
      </w:r>
      <w:r w:rsidR="00307637">
        <w:rPr>
          <w:rFonts w:ascii="Times New Roman" w:hAnsi="Times New Roman" w:cs="Times New Roman"/>
          <w:b/>
          <w:sz w:val="24"/>
          <w:szCs w:val="24"/>
        </w:rPr>
        <w:t>20</w:t>
      </w:r>
      <w:r w:rsidR="0048763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D7C3CED" w14:textId="2B293003" w:rsidR="0098228B" w:rsidRDefault="00806F15">
      <w:pPr>
        <w:pStyle w:val="Heading1"/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</w:pPr>
      <w:r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P</w:t>
      </w:r>
      <w:r w:rsidR="00DB78E3" w:rsidRPr="003A5F3E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ursuant to the notice filed with the Town Clerk, the meeting of the Conservation Commission was held in the O’Neill Conference Room at Dedham Town Hall, 26 Bryant Street, at 7:0</w:t>
      </w:r>
      <w:r w:rsidR="004501E7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5</w:t>
      </w:r>
      <w:r w:rsidR="00DB78E3" w:rsidRPr="003A5F3E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 xml:space="preserve"> p.m. on Thursday </w:t>
      </w:r>
      <w:r w:rsidR="00DD07C3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March 5</w:t>
      </w:r>
      <w:r w:rsidR="007B650C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 xml:space="preserve">, </w:t>
      </w:r>
      <w:r w:rsidR="00F1125A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2020</w:t>
      </w:r>
      <w:r w:rsidR="00DB5350"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  <w:t>.</w:t>
      </w:r>
    </w:p>
    <w:p w14:paraId="123A1256" w14:textId="77777777" w:rsidR="0098228B" w:rsidRDefault="0098228B">
      <w:pPr>
        <w:pStyle w:val="Heading1"/>
        <w:rPr>
          <w:rFonts w:ascii="Times New Roman" w:eastAsiaTheme="minorEastAsia" w:hAnsi="Times New Roman" w:cs="Times New Roman"/>
          <w:iCs/>
          <w:color w:val="auto"/>
          <w:sz w:val="22"/>
          <w:szCs w:val="22"/>
        </w:rPr>
      </w:pPr>
    </w:p>
    <w:p w14:paraId="58DE3699" w14:textId="77777777" w:rsidR="00F338A3" w:rsidRPr="0098228B" w:rsidRDefault="00DB78E3">
      <w:pPr>
        <w:pStyle w:val="Heading1"/>
        <w:rPr>
          <w:rFonts w:ascii="Times New Roman" w:eastAsiaTheme="minorEastAsia" w:hAnsi="Times New Roman" w:cs="Times New Roman"/>
          <w:b/>
          <w:iCs/>
          <w:color w:val="auto"/>
          <w:sz w:val="22"/>
          <w:szCs w:val="22"/>
        </w:rPr>
      </w:pPr>
      <w:r w:rsidRPr="0098228B">
        <w:rPr>
          <w:rFonts w:ascii="Times New Roman" w:eastAsiaTheme="minorEastAsia" w:hAnsi="Times New Roman" w:cs="Times New Roman"/>
          <w:b/>
          <w:iCs/>
          <w:color w:val="auto"/>
          <w:sz w:val="22"/>
          <w:szCs w:val="22"/>
        </w:rPr>
        <w:t>The following Commissioners were present:</w:t>
      </w:r>
    </w:p>
    <w:p w14:paraId="63FCDD6A" w14:textId="500D7594" w:rsidR="00DB6E7F" w:rsidRDefault="00DB6E7F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Michelle Kayserman,</w:t>
      </w:r>
      <w:r w:rsidR="007B650C">
        <w:rPr>
          <w:rFonts w:ascii="Times New Roman" w:hAnsi="Times New Roman" w:cs="Times New Roman"/>
          <w:b w:val="0"/>
          <w:color w:val="auto"/>
        </w:rPr>
        <w:t xml:space="preserve"> </w:t>
      </w:r>
      <w:r w:rsidR="00F752EE">
        <w:rPr>
          <w:rFonts w:ascii="Times New Roman" w:hAnsi="Times New Roman" w:cs="Times New Roman"/>
          <w:b w:val="0"/>
          <w:color w:val="auto"/>
        </w:rPr>
        <w:t xml:space="preserve">Acting </w:t>
      </w:r>
      <w:r w:rsidR="007B650C">
        <w:rPr>
          <w:rFonts w:ascii="Times New Roman" w:hAnsi="Times New Roman" w:cs="Times New Roman"/>
          <w:b w:val="0"/>
          <w:color w:val="auto"/>
        </w:rPr>
        <w:t xml:space="preserve">Chair </w:t>
      </w:r>
    </w:p>
    <w:p w14:paraId="69E20F65" w14:textId="55640961" w:rsidR="007B650C" w:rsidRDefault="007B650C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Stephanie Radner, Clerk</w:t>
      </w:r>
    </w:p>
    <w:p w14:paraId="79C8A71A" w14:textId="400FC652" w:rsidR="00EB4F7E" w:rsidRDefault="00EB4F7E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Nick Garlick</w:t>
      </w:r>
    </w:p>
    <w:p w14:paraId="383807E3" w14:textId="45FF8AE3" w:rsidR="00EB4F7E" w:rsidRDefault="00EB4F7E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Nathan </w:t>
      </w:r>
      <w:r w:rsidR="00BC2A2D">
        <w:rPr>
          <w:rFonts w:ascii="Times New Roman" w:hAnsi="Times New Roman" w:cs="Times New Roman"/>
          <w:b w:val="0"/>
          <w:color w:val="auto"/>
        </w:rPr>
        <w:t>Gauthier</w:t>
      </w:r>
    </w:p>
    <w:p w14:paraId="4F4CB4AA" w14:textId="7A153226" w:rsidR="00DB6E7F" w:rsidRDefault="0035648E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Bob Holmes</w:t>
      </w:r>
    </w:p>
    <w:p w14:paraId="32930550" w14:textId="77777777" w:rsidR="005E0CB9" w:rsidRPr="003A5F3E" w:rsidRDefault="005E0CB9">
      <w:pPr>
        <w:pStyle w:val="BlockText"/>
        <w:rPr>
          <w:rFonts w:ascii="Times New Roman" w:hAnsi="Times New Roman" w:cs="Times New Roman"/>
          <w:b w:val="0"/>
          <w:color w:val="auto"/>
        </w:rPr>
      </w:pPr>
    </w:p>
    <w:p w14:paraId="4D3FA0B5" w14:textId="77777777" w:rsidR="005E0CB9" w:rsidRPr="0098228B" w:rsidRDefault="00DB78E3">
      <w:pPr>
        <w:pStyle w:val="BlockText"/>
        <w:rPr>
          <w:rFonts w:ascii="Times New Roman" w:hAnsi="Times New Roman" w:cs="Times New Roman"/>
          <w:color w:val="auto"/>
        </w:rPr>
      </w:pPr>
      <w:r w:rsidRPr="0098228B">
        <w:rPr>
          <w:rFonts w:ascii="Times New Roman" w:hAnsi="Times New Roman" w:cs="Times New Roman"/>
          <w:color w:val="auto"/>
        </w:rPr>
        <w:t>The following staff were also present</w:t>
      </w:r>
      <w:r w:rsidR="00E271BF">
        <w:rPr>
          <w:rFonts w:ascii="Times New Roman" w:hAnsi="Times New Roman" w:cs="Times New Roman"/>
          <w:color w:val="auto"/>
        </w:rPr>
        <w:t>:</w:t>
      </w:r>
    </w:p>
    <w:p w14:paraId="69B636BD" w14:textId="1DB54FAB" w:rsidR="0041587F" w:rsidRDefault="0041587F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>Renee Johnson, Administrator</w:t>
      </w:r>
    </w:p>
    <w:p w14:paraId="4FBE162E" w14:textId="700F84E8" w:rsidR="007B7B51" w:rsidRPr="003A5F3E" w:rsidRDefault="007B7B51" w:rsidP="003A5F3E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Elissa Brown, Conservation Agent </w:t>
      </w:r>
    </w:p>
    <w:p w14:paraId="0E5EE7A6" w14:textId="77777777" w:rsidR="0041587F" w:rsidRPr="003A5F3E" w:rsidRDefault="0041587F" w:rsidP="0041587F">
      <w:pPr>
        <w:pStyle w:val="BlockText"/>
        <w:rPr>
          <w:rFonts w:ascii="Times New Roman" w:hAnsi="Times New Roman" w:cs="Times New Roman"/>
          <w:b w:val="0"/>
          <w:color w:val="auto"/>
        </w:rPr>
      </w:pPr>
    </w:p>
    <w:p w14:paraId="69E98FDD" w14:textId="77777777" w:rsidR="00DB78E3" w:rsidRDefault="00DB78E3" w:rsidP="0041587F">
      <w:pPr>
        <w:pStyle w:val="BlockText"/>
        <w:rPr>
          <w:rFonts w:ascii="Times New Roman" w:hAnsi="Times New Roman" w:cs="Times New Roman"/>
          <w:color w:val="auto"/>
        </w:rPr>
      </w:pPr>
      <w:r w:rsidRPr="0098228B">
        <w:rPr>
          <w:rFonts w:ascii="Times New Roman" w:hAnsi="Times New Roman" w:cs="Times New Roman"/>
          <w:color w:val="auto"/>
        </w:rPr>
        <w:t xml:space="preserve">The following </w:t>
      </w:r>
      <w:r w:rsidR="00726D51" w:rsidRPr="0098228B">
        <w:rPr>
          <w:rFonts w:ascii="Times New Roman" w:hAnsi="Times New Roman" w:cs="Times New Roman"/>
          <w:color w:val="auto"/>
        </w:rPr>
        <w:t xml:space="preserve">Commissioners </w:t>
      </w:r>
      <w:r w:rsidRPr="0098228B">
        <w:rPr>
          <w:rFonts w:ascii="Times New Roman" w:hAnsi="Times New Roman" w:cs="Times New Roman"/>
          <w:color w:val="auto"/>
        </w:rPr>
        <w:t>were a</w:t>
      </w:r>
      <w:r w:rsidR="00726D51" w:rsidRPr="0098228B">
        <w:rPr>
          <w:rFonts w:ascii="Times New Roman" w:hAnsi="Times New Roman" w:cs="Times New Roman"/>
          <w:color w:val="auto"/>
        </w:rPr>
        <w:t xml:space="preserve">bsent:  </w:t>
      </w:r>
    </w:p>
    <w:p w14:paraId="3CF4B6B9" w14:textId="5DCE2FFF" w:rsidR="00EB4F7E" w:rsidRDefault="00EB4F7E" w:rsidP="009A3C77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Laura Bugay</w:t>
      </w:r>
    </w:p>
    <w:p w14:paraId="3A805B4C" w14:textId="0B00E8EE" w:rsidR="009A3C77" w:rsidRDefault="00487632" w:rsidP="009A3C77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Leigh Hafrey</w:t>
      </w:r>
    </w:p>
    <w:p w14:paraId="6A1D951B" w14:textId="7504B265" w:rsidR="00487632" w:rsidRDefault="00EB4F7E" w:rsidP="009A3C77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Sean Hanley</w:t>
      </w:r>
    </w:p>
    <w:p w14:paraId="2DA8AA37" w14:textId="777CD4E9" w:rsidR="00487632" w:rsidRDefault="00EB4F7E" w:rsidP="009A3C77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Eliot Foulds</w:t>
      </w:r>
    </w:p>
    <w:p w14:paraId="5CBC2FBD" w14:textId="77777777" w:rsidR="009A3C77" w:rsidRDefault="009A3C77" w:rsidP="00DA22C1">
      <w:pPr>
        <w:pStyle w:val="BlockText"/>
        <w:ind w:left="540"/>
        <w:rPr>
          <w:rFonts w:ascii="Times New Roman" w:hAnsi="Times New Roman" w:cs="Times New Roman"/>
          <w:b w:val="0"/>
          <w:color w:val="auto"/>
        </w:rPr>
      </w:pPr>
    </w:p>
    <w:p w14:paraId="6B3FFB9C" w14:textId="77777777" w:rsidR="00150F6F" w:rsidRDefault="00150F6F" w:rsidP="0041587F">
      <w:pPr>
        <w:pStyle w:val="BlockText"/>
        <w:rPr>
          <w:rFonts w:ascii="Times New Roman" w:hAnsi="Times New Roman" w:cs="Times New Roman"/>
          <w:b w:val="0"/>
          <w:color w:val="auto"/>
        </w:rPr>
      </w:pPr>
    </w:p>
    <w:p w14:paraId="52A4CAD4" w14:textId="51D9CB29" w:rsidR="0041587F" w:rsidRPr="003A5F3E" w:rsidRDefault="0041587F" w:rsidP="0041587F">
      <w:pPr>
        <w:pStyle w:val="BlockText"/>
        <w:rPr>
          <w:rFonts w:ascii="Times New Roman" w:hAnsi="Times New Roman" w:cs="Times New Roman"/>
          <w:b w:val="0"/>
          <w:color w:val="auto"/>
        </w:rPr>
      </w:pPr>
      <w:r w:rsidRPr="003A5F3E">
        <w:rPr>
          <w:rFonts w:ascii="Times New Roman" w:hAnsi="Times New Roman" w:cs="Times New Roman"/>
          <w:b w:val="0"/>
          <w:color w:val="auto"/>
        </w:rPr>
        <w:t xml:space="preserve">Commissioner </w:t>
      </w:r>
      <w:r w:rsidR="00EB4F7E">
        <w:rPr>
          <w:rFonts w:ascii="Times New Roman" w:hAnsi="Times New Roman" w:cs="Times New Roman"/>
          <w:b w:val="0"/>
          <w:color w:val="auto"/>
        </w:rPr>
        <w:t>Kayserman</w:t>
      </w:r>
      <w:r w:rsidRPr="003A5F3E">
        <w:rPr>
          <w:rFonts w:ascii="Times New Roman" w:hAnsi="Times New Roman" w:cs="Times New Roman"/>
          <w:b w:val="0"/>
          <w:color w:val="auto"/>
        </w:rPr>
        <w:t xml:space="preserve"> </w:t>
      </w:r>
      <w:r w:rsidR="00726D51" w:rsidRPr="003A5F3E">
        <w:rPr>
          <w:rFonts w:ascii="Times New Roman" w:hAnsi="Times New Roman" w:cs="Times New Roman"/>
          <w:b w:val="0"/>
          <w:color w:val="auto"/>
        </w:rPr>
        <w:t xml:space="preserve">called </w:t>
      </w:r>
      <w:r w:rsidRPr="003A5F3E">
        <w:rPr>
          <w:rFonts w:ascii="Times New Roman" w:hAnsi="Times New Roman" w:cs="Times New Roman"/>
          <w:b w:val="0"/>
          <w:color w:val="auto"/>
        </w:rPr>
        <w:t>the meeting to order at 7:</w:t>
      </w:r>
      <w:r w:rsidR="00F338A3" w:rsidRPr="003A5F3E">
        <w:rPr>
          <w:rFonts w:ascii="Times New Roman" w:hAnsi="Times New Roman" w:cs="Times New Roman"/>
          <w:b w:val="0"/>
          <w:color w:val="auto"/>
        </w:rPr>
        <w:t>0</w:t>
      </w:r>
      <w:r w:rsidR="00F937B0">
        <w:rPr>
          <w:rFonts w:ascii="Times New Roman" w:hAnsi="Times New Roman" w:cs="Times New Roman"/>
          <w:b w:val="0"/>
          <w:color w:val="auto"/>
        </w:rPr>
        <w:t>5</w:t>
      </w:r>
      <w:r w:rsidR="00F338A3" w:rsidRPr="003A5F3E">
        <w:rPr>
          <w:rFonts w:ascii="Times New Roman" w:hAnsi="Times New Roman" w:cs="Times New Roman"/>
          <w:b w:val="0"/>
          <w:color w:val="auto"/>
        </w:rPr>
        <w:t xml:space="preserve"> </w:t>
      </w:r>
      <w:r w:rsidRPr="003A5F3E">
        <w:rPr>
          <w:rFonts w:ascii="Times New Roman" w:hAnsi="Times New Roman" w:cs="Times New Roman"/>
          <w:b w:val="0"/>
          <w:color w:val="auto"/>
        </w:rPr>
        <w:t>pm</w:t>
      </w:r>
      <w:r w:rsidR="00DB78E3">
        <w:t xml:space="preserve"> </w:t>
      </w:r>
      <w:r w:rsidR="00DB78E3" w:rsidRPr="003A5F3E">
        <w:rPr>
          <w:rFonts w:ascii="Times New Roman" w:hAnsi="Times New Roman" w:cs="Times New Roman"/>
          <w:b w:val="0"/>
          <w:color w:val="auto"/>
        </w:rPr>
        <w:t xml:space="preserve">in accordance with the Wetlands Protection Act, M.G.L. Chapter 131, Section 40, </w:t>
      </w:r>
      <w:r w:rsidR="00DB78E3">
        <w:rPr>
          <w:rFonts w:ascii="Times New Roman" w:hAnsi="Times New Roman" w:cs="Times New Roman"/>
          <w:b w:val="0"/>
          <w:color w:val="auto"/>
        </w:rPr>
        <w:t>the Dedham</w:t>
      </w:r>
      <w:r w:rsidR="00DB78E3" w:rsidRPr="003A5F3E">
        <w:rPr>
          <w:rFonts w:ascii="Times New Roman" w:hAnsi="Times New Roman" w:cs="Times New Roman"/>
          <w:b w:val="0"/>
          <w:color w:val="auto"/>
        </w:rPr>
        <w:t xml:space="preserve"> Wetlands Bylaw</w:t>
      </w:r>
      <w:r w:rsidR="00DB78E3">
        <w:rPr>
          <w:rFonts w:ascii="Times New Roman" w:hAnsi="Times New Roman" w:cs="Times New Roman"/>
          <w:b w:val="0"/>
          <w:color w:val="auto"/>
        </w:rPr>
        <w:t>, and the Dedham Stormwater Management Bylaw</w:t>
      </w:r>
      <w:r w:rsidRPr="003A5F3E">
        <w:rPr>
          <w:rFonts w:ascii="Times New Roman" w:hAnsi="Times New Roman" w:cs="Times New Roman"/>
          <w:b w:val="0"/>
          <w:color w:val="auto"/>
        </w:rPr>
        <w:t xml:space="preserve">. </w:t>
      </w:r>
    </w:p>
    <w:p w14:paraId="6E6DE5ED" w14:textId="77777777" w:rsidR="00150F6F" w:rsidRDefault="00150F6F" w:rsidP="0041587F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/>
          <w:color w:val="auto"/>
        </w:rPr>
      </w:pPr>
    </w:p>
    <w:p w14:paraId="709DA7A0" w14:textId="5071828B" w:rsidR="00EB4F7E" w:rsidRPr="00EB4F7E" w:rsidRDefault="00EB4F7E" w:rsidP="0041587F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Master Plan Update- </w:t>
      </w:r>
      <w:r>
        <w:rPr>
          <w:rFonts w:ascii="Times New Roman" w:hAnsi="Times New Roman" w:cs="Times New Roman"/>
          <w:bCs/>
          <w:color w:val="auto"/>
        </w:rPr>
        <w:t>Town Planner Jeremy Rosenberg</w:t>
      </w:r>
      <w:r w:rsidR="00DD07C3">
        <w:rPr>
          <w:rFonts w:ascii="Times New Roman" w:hAnsi="Times New Roman" w:cs="Times New Roman"/>
          <w:bCs/>
          <w:color w:val="auto"/>
        </w:rPr>
        <w:t>er</w:t>
      </w:r>
      <w:r>
        <w:rPr>
          <w:rFonts w:ascii="Times New Roman" w:hAnsi="Times New Roman" w:cs="Times New Roman"/>
          <w:bCs/>
          <w:color w:val="auto"/>
        </w:rPr>
        <w:t xml:space="preserve"> </w:t>
      </w:r>
      <w:r w:rsidR="00DD07C3">
        <w:rPr>
          <w:rFonts w:ascii="Times New Roman" w:hAnsi="Times New Roman" w:cs="Times New Roman"/>
          <w:bCs/>
          <w:color w:val="auto"/>
        </w:rPr>
        <w:t>briefed</w:t>
      </w:r>
      <w:r>
        <w:rPr>
          <w:rFonts w:ascii="Times New Roman" w:hAnsi="Times New Roman" w:cs="Times New Roman"/>
          <w:bCs/>
          <w:color w:val="auto"/>
        </w:rPr>
        <w:t xml:space="preserve"> the </w:t>
      </w:r>
      <w:bookmarkStart w:id="1" w:name="_Hlk34653260"/>
      <w:r>
        <w:rPr>
          <w:rFonts w:ascii="Times New Roman" w:hAnsi="Times New Roman" w:cs="Times New Roman"/>
          <w:bCs/>
          <w:color w:val="auto"/>
        </w:rPr>
        <w:t xml:space="preserve">Commission </w:t>
      </w:r>
      <w:r w:rsidR="00DD07C3">
        <w:rPr>
          <w:rFonts w:ascii="Times New Roman" w:hAnsi="Times New Roman" w:cs="Times New Roman"/>
          <w:bCs/>
          <w:color w:val="auto"/>
        </w:rPr>
        <w:t>on t</w:t>
      </w:r>
      <w:r>
        <w:rPr>
          <w:rFonts w:ascii="Times New Roman" w:hAnsi="Times New Roman" w:cs="Times New Roman"/>
          <w:bCs/>
          <w:color w:val="auto"/>
        </w:rPr>
        <w:t>he creation of the Dedham Masterplan 2030</w:t>
      </w:r>
      <w:r w:rsidR="00DD07C3">
        <w:rPr>
          <w:rFonts w:ascii="Times New Roman" w:hAnsi="Times New Roman" w:cs="Times New Roman"/>
          <w:bCs/>
          <w:color w:val="auto"/>
        </w:rPr>
        <w:t xml:space="preserve">, and notified them of </w:t>
      </w:r>
      <w:r>
        <w:rPr>
          <w:rFonts w:ascii="Times New Roman" w:hAnsi="Times New Roman" w:cs="Times New Roman"/>
          <w:bCs/>
          <w:color w:val="auto"/>
        </w:rPr>
        <w:t>a community-wide vision</w:t>
      </w:r>
      <w:r w:rsidR="00DD07C3">
        <w:rPr>
          <w:rFonts w:ascii="Times New Roman" w:hAnsi="Times New Roman" w:cs="Times New Roman"/>
          <w:bCs/>
          <w:color w:val="auto"/>
        </w:rPr>
        <w:t xml:space="preserve">ing </w:t>
      </w:r>
      <w:r>
        <w:rPr>
          <w:rFonts w:ascii="Times New Roman" w:hAnsi="Times New Roman" w:cs="Times New Roman"/>
          <w:bCs/>
          <w:color w:val="auto"/>
        </w:rPr>
        <w:t>workshop to engage the community and get th</w:t>
      </w:r>
      <w:r w:rsidR="0028279C">
        <w:rPr>
          <w:rFonts w:ascii="Times New Roman" w:hAnsi="Times New Roman" w:cs="Times New Roman"/>
          <w:bCs/>
          <w:color w:val="auto"/>
        </w:rPr>
        <w:t xml:space="preserve">em involved </w:t>
      </w:r>
      <w:r>
        <w:rPr>
          <w:rFonts w:ascii="Times New Roman" w:hAnsi="Times New Roman" w:cs="Times New Roman"/>
          <w:bCs/>
          <w:color w:val="auto"/>
        </w:rPr>
        <w:t xml:space="preserve">with the process </w:t>
      </w:r>
      <w:r w:rsidR="0028279C">
        <w:rPr>
          <w:rFonts w:ascii="Times New Roman" w:hAnsi="Times New Roman" w:cs="Times New Roman"/>
          <w:bCs/>
          <w:color w:val="auto"/>
        </w:rPr>
        <w:t xml:space="preserve">of </w:t>
      </w:r>
      <w:r>
        <w:rPr>
          <w:rFonts w:ascii="Times New Roman" w:hAnsi="Times New Roman" w:cs="Times New Roman"/>
          <w:bCs/>
          <w:color w:val="auto"/>
        </w:rPr>
        <w:t>defin</w:t>
      </w:r>
      <w:r w:rsidR="0028279C">
        <w:rPr>
          <w:rFonts w:ascii="Times New Roman" w:hAnsi="Times New Roman" w:cs="Times New Roman"/>
          <w:bCs/>
          <w:color w:val="auto"/>
        </w:rPr>
        <w:t>ing visions,</w:t>
      </w:r>
      <w:r>
        <w:rPr>
          <w:rFonts w:ascii="Times New Roman" w:hAnsi="Times New Roman" w:cs="Times New Roman"/>
          <w:bCs/>
          <w:color w:val="auto"/>
        </w:rPr>
        <w:t xml:space="preserve"> </w:t>
      </w:r>
      <w:r w:rsidR="0028279C">
        <w:rPr>
          <w:rFonts w:ascii="Times New Roman" w:hAnsi="Times New Roman" w:cs="Times New Roman"/>
          <w:bCs/>
          <w:color w:val="auto"/>
        </w:rPr>
        <w:t xml:space="preserve">goals </w:t>
      </w:r>
      <w:r>
        <w:rPr>
          <w:rFonts w:ascii="Times New Roman" w:hAnsi="Times New Roman" w:cs="Times New Roman"/>
          <w:bCs/>
          <w:color w:val="auto"/>
        </w:rPr>
        <w:t xml:space="preserve">and strategies for the next 10 years. He </w:t>
      </w:r>
      <w:r w:rsidR="00DD07C3">
        <w:rPr>
          <w:rFonts w:ascii="Times New Roman" w:hAnsi="Times New Roman" w:cs="Times New Roman"/>
          <w:bCs/>
          <w:color w:val="auto"/>
        </w:rPr>
        <w:t xml:space="preserve">stated his belief </w:t>
      </w:r>
      <w:r>
        <w:rPr>
          <w:rFonts w:ascii="Times New Roman" w:hAnsi="Times New Roman" w:cs="Times New Roman"/>
          <w:bCs/>
          <w:color w:val="auto"/>
        </w:rPr>
        <w:t xml:space="preserve">that housing, public health, and transportation will be the hot button topics. </w:t>
      </w:r>
      <w:r w:rsidR="00150F6F">
        <w:rPr>
          <w:rFonts w:ascii="Times New Roman" w:hAnsi="Times New Roman" w:cs="Times New Roman"/>
          <w:bCs/>
          <w:color w:val="auto"/>
        </w:rPr>
        <w:t xml:space="preserve"> The Community Vision Meeting </w:t>
      </w:r>
      <w:r w:rsidR="00DD07C3">
        <w:rPr>
          <w:rFonts w:ascii="Times New Roman" w:hAnsi="Times New Roman" w:cs="Times New Roman"/>
          <w:bCs/>
          <w:color w:val="auto"/>
        </w:rPr>
        <w:t xml:space="preserve">is currently scheduled for </w:t>
      </w:r>
      <w:r w:rsidR="00150F6F">
        <w:rPr>
          <w:rFonts w:ascii="Times New Roman" w:hAnsi="Times New Roman" w:cs="Times New Roman"/>
          <w:bCs/>
          <w:color w:val="auto"/>
        </w:rPr>
        <w:t xml:space="preserve"> April 4</w:t>
      </w:r>
      <w:r w:rsidR="00150F6F" w:rsidRPr="00150F6F">
        <w:rPr>
          <w:rFonts w:ascii="Times New Roman" w:hAnsi="Times New Roman" w:cs="Times New Roman"/>
          <w:bCs/>
          <w:color w:val="auto"/>
          <w:vertAlign w:val="superscript"/>
        </w:rPr>
        <w:t>th</w:t>
      </w:r>
      <w:r w:rsidR="00150F6F">
        <w:rPr>
          <w:rFonts w:ascii="Times New Roman" w:hAnsi="Times New Roman" w:cs="Times New Roman"/>
          <w:bCs/>
          <w:color w:val="auto"/>
        </w:rPr>
        <w:t>, between 10am-1pm at Avery Elementary School.</w:t>
      </w:r>
    </w:p>
    <w:bookmarkEnd w:id="1"/>
    <w:p w14:paraId="6B13204E" w14:textId="77777777" w:rsidR="00EB4F7E" w:rsidRDefault="00EB4F7E" w:rsidP="0041587F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/>
          <w:color w:val="auto"/>
        </w:rPr>
      </w:pPr>
    </w:p>
    <w:p w14:paraId="0F5AB922" w14:textId="7FD009C1" w:rsidR="00752665" w:rsidRPr="00DA22C1" w:rsidRDefault="00DA22C1" w:rsidP="0041587F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/>
          <w:color w:val="auto"/>
        </w:rPr>
      </w:pPr>
      <w:r w:rsidRPr="00DA22C1">
        <w:rPr>
          <w:rFonts w:ascii="Times New Roman" w:hAnsi="Times New Roman" w:cs="Times New Roman"/>
          <w:b/>
          <w:color w:val="auto"/>
        </w:rPr>
        <w:t>Continuances</w:t>
      </w:r>
      <w:r w:rsidR="00385F37" w:rsidRPr="00DA22C1">
        <w:rPr>
          <w:rFonts w:ascii="Times New Roman" w:hAnsi="Times New Roman" w:cs="Times New Roman"/>
          <w:b/>
          <w:color w:val="auto"/>
        </w:rPr>
        <w:t>:</w:t>
      </w:r>
    </w:p>
    <w:p w14:paraId="47B1A908" w14:textId="5AA50C31" w:rsidR="006317B3" w:rsidRPr="00322A51" w:rsidRDefault="006317B3" w:rsidP="00883E20">
      <w:pPr>
        <w:pStyle w:val="ListParagraph"/>
        <w:numPr>
          <w:ilvl w:val="0"/>
          <w:numId w:val="11"/>
        </w:numPr>
        <w:tabs>
          <w:tab w:val="left" w:pos="360"/>
          <w:tab w:val="left" w:pos="810"/>
        </w:tabs>
        <w:spacing w:after="40" w:line="240" w:lineRule="auto"/>
        <w:rPr>
          <w:rFonts w:ascii="Times New Roman" w:hAnsi="Times New Roman"/>
          <w:b/>
          <w:color w:val="000000" w:themeColor="text1"/>
        </w:rPr>
      </w:pPr>
      <w:r w:rsidRPr="00322A51">
        <w:rPr>
          <w:rFonts w:ascii="Times New Roman" w:hAnsi="Times New Roman"/>
          <w:b/>
          <w:bCs/>
          <w:color w:val="000000" w:themeColor="text1"/>
          <w:u w:val="single"/>
        </w:rPr>
        <w:t>6</w:t>
      </w:r>
      <w:r w:rsidRPr="00322A51">
        <w:rPr>
          <w:rFonts w:ascii="Times New Roman" w:hAnsi="Times New Roman"/>
          <w:b/>
          <w:color w:val="000000" w:themeColor="text1"/>
          <w:u w:val="single"/>
        </w:rPr>
        <w:t xml:space="preserve">37 East Street, Frank </w:t>
      </w:r>
      <w:proofErr w:type="spellStart"/>
      <w:r w:rsidRPr="00322A51">
        <w:rPr>
          <w:rFonts w:ascii="Times New Roman" w:hAnsi="Times New Roman"/>
          <w:b/>
          <w:color w:val="000000" w:themeColor="text1"/>
          <w:u w:val="single"/>
        </w:rPr>
        <w:t>Go</w:t>
      </w:r>
      <w:r w:rsidR="00842EA4">
        <w:rPr>
          <w:rFonts w:ascii="Times New Roman" w:hAnsi="Times New Roman"/>
          <w:b/>
          <w:color w:val="000000" w:themeColor="text1"/>
          <w:u w:val="single"/>
        </w:rPr>
        <w:t>b</w:t>
      </w:r>
      <w:r w:rsidRPr="00322A51">
        <w:rPr>
          <w:rFonts w:ascii="Times New Roman" w:hAnsi="Times New Roman"/>
          <w:b/>
          <w:color w:val="000000" w:themeColor="text1"/>
          <w:u w:val="single"/>
        </w:rPr>
        <w:t>bi</w:t>
      </w:r>
      <w:proofErr w:type="spellEnd"/>
      <w:r w:rsidRPr="00322A51">
        <w:rPr>
          <w:rFonts w:ascii="Times New Roman" w:hAnsi="Times New Roman"/>
          <w:b/>
          <w:color w:val="000000" w:themeColor="text1"/>
          <w:u w:val="single"/>
        </w:rPr>
        <w:t>, Applicant – John Glossa, Glossa Engineering, Rep.</w:t>
      </w:r>
      <w:r w:rsidRPr="00322A51">
        <w:rPr>
          <w:rFonts w:ascii="Times New Roman" w:hAnsi="Times New Roman"/>
          <w:color w:val="000000" w:themeColor="text1"/>
        </w:rPr>
        <w:t xml:space="preserve"> - Roadway and utilities for a proposed subdivision adjacent to Bordering Vegetated Wetlands- (DEP File # 141-0486). </w:t>
      </w:r>
    </w:p>
    <w:p w14:paraId="66304CFF" w14:textId="77777777" w:rsidR="00DA22C1" w:rsidRDefault="00DA22C1" w:rsidP="00385F37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auto"/>
        </w:rPr>
      </w:pPr>
    </w:p>
    <w:p w14:paraId="6606C593" w14:textId="4A418335" w:rsidR="00385F37" w:rsidRDefault="00385F37" w:rsidP="00F937B0">
      <w:pPr>
        <w:autoSpaceDE w:val="0"/>
        <w:autoSpaceDN w:val="0"/>
        <w:adjustRightInd w:val="0"/>
        <w:spacing w:after="40"/>
        <w:ind w:left="720"/>
        <w:rPr>
          <w:rFonts w:ascii="Times New Roman" w:hAnsi="Times New Roman" w:cs="Times New Roman"/>
          <w:bCs/>
          <w:color w:val="auto"/>
        </w:rPr>
      </w:pPr>
      <w:r w:rsidRPr="00490E5A">
        <w:rPr>
          <w:rFonts w:ascii="Times New Roman" w:hAnsi="Times New Roman" w:cs="Times New Roman"/>
          <w:bCs/>
          <w:color w:val="auto"/>
        </w:rPr>
        <w:t xml:space="preserve">Commissioner </w:t>
      </w:r>
      <w:r w:rsidR="00C97766">
        <w:rPr>
          <w:rFonts w:ascii="Times New Roman" w:hAnsi="Times New Roman" w:cs="Times New Roman"/>
          <w:bCs/>
          <w:color w:val="auto"/>
        </w:rPr>
        <w:t>Kayserman</w:t>
      </w:r>
      <w:r w:rsidRPr="00490E5A">
        <w:rPr>
          <w:rFonts w:ascii="Times New Roman" w:hAnsi="Times New Roman" w:cs="Times New Roman"/>
          <w:bCs/>
          <w:color w:val="auto"/>
        </w:rPr>
        <w:t xml:space="preserve"> moved to continue</w:t>
      </w:r>
      <w:r>
        <w:rPr>
          <w:rFonts w:ascii="Times New Roman" w:hAnsi="Times New Roman" w:cs="Times New Roman"/>
          <w:bCs/>
          <w:color w:val="auto"/>
        </w:rPr>
        <w:t xml:space="preserve"> </w:t>
      </w:r>
      <w:r w:rsidR="00F1125A">
        <w:rPr>
          <w:rFonts w:ascii="Times New Roman" w:hAnsi="Times New Roman" w:cs="Times New Roman"/>
          <w:bCs/>
          <w:color w:val="auto"/>
        </w:rPr>
        <w:t xml:space="preserve">the </w:t>
      </w:r>
      <w:r>
        <w:rPr>
          <w:rFonts w:ascii="Times New Roman" w:hAnsi="Times New Roman" w:cs="Times New Roman"/>
          <w:bCs/>
          <w:color w:val="auto"/>
        </w:rPr>
        <w:t>application</w:t>
      </w:r>
      <w:r w:rsidRPr="003A5F3E">
        <w:rPr>
          <w:rFonts w:ascii="Times New Roman" w:hAnsi="Times New Roman" w:cs="Times New Roman"/>
          <w:bCs/>
          <w:color w:val="auto"/>
        </w:rPr>
        <w:t xml:space="preserve"> </w:t>
      </w:r>
      <w:r w:rsidR="00794C5A">
        <w:rPr>
          <w:rFonts w:ascii="Times New Roman" w:hAnsi="Times New Roman" w:cs="Times New Roman"/>
          <w:bCs/>
          <w:color w:val="auto"/>
        </w:rPr>
        <w:t>to</w:t>
      </w:r>
      <w:r>
        <w:rPr>
          <w:rFonts w:ascii="Times New Roman" w:hAnsi="Times New Roman" w:cs="Times New Roman"/>
          <w:bCs/>
          <w:color w:val="auto"/>
        </w:rPr>
        <w:t xml:space="preserve"> </w:t>
      </w:r>
      <w:r w:rsidR="00487632">
        <w:rPr>
          <w:rFonts w:ascii="Times New Roman" w:hAnsi="Times New Roman" w:cs="Times New Roman"/>
          <w:bCs/>
          <w:color w:val="auto"/>
        </w:rPr>
        <w:t xml:space="preserve">March </w:t>
      </w:r>
      <w:r w:rsidR="00395BF4">
        <w:rPr>
          <w:rFonts w:ascii="Times New Roman" w:hAnsi="Times New Roman" w:cs="Times New Roman"/>
          <w:bCs/>
          <w:color w:val="auto"/>
        </w:rPr>
        <w:t>1</w:t>
      </w:r>
      <w:r w:rsidR="00C97766">
        <w:rPr>
          <w:rFonts w:ascii="Times New Roman" w:hAnsi="Times New Roman" w:cs="Times New Roman"/>
          <w:bCs/>
          <w:color w:val="auto"/>
        </w:rPr>
        <w:t>9</w:t>
      </w:r>
      <w:r w:rsidR="007B7B51">
        <w:rPr>
          <w:rFonts w:ascii="Times New Roman" w:hAnsi="Times New Roman" w:cs="Times New Roman"/>
          <w:bCs/>
          <w:color w:val="auto"/>
        </w:rPr>
        <w:t>,</w:t>
      </w:r>
      <w:r w:rsidR="000876C2">
        <w:rPr>
          <w:rFonts w:ascii="Times New Roman" w:hAnsi="Times New Roman" w:cs="Times New Roman"/>
          <w:bCs/>
          <w:color w:val="auto"/>
        </w:rPr>
        <w:t xml:space="preserve"> 2020</w:t>
      </w:r>
      <w:r>
        <w:rPr>
          <w:rFonts w:ascii="Times New Roman" w:hAnsi="Times New Roman" w:cs="Times New Roman"/>
          <w:bCs/>
          <w:color w:val="auto"/>
        </w:rPr>
        <w:t xml:space="preserve">. </w:t>
      </w:r>
      <w:r w:rsidRPr="00490E5A">
        <w:rPr>
          <w:rFonts w:ascii="Times New Roman" w:hAnsi="Times New Roman" w:cs="Times New Roman"/>
          <w:bCs/>
          <w:color w:val="auto"/>
        </w:rPr>
        <w:t xml:space="preserve">Commissioner, </w:t>
      </w:r>
      <w:r w:rsidR="00C97766">
        <w:rPr>
          <w:rFonts w:ascii="Times New Roman" w:hAnsi="Times New Roman" w:cs="Times New Roman"/>
          <w:bCs/>
          <w:color w:val="auto"/>
        </w:rPr>
        <w:t>Gauthier</w:t>
      </w:r>
      <w:r>
        <w:rPr>
          <w:rFonts w:ascii="Times New Roman" w:hAnsi="Times New Roman" w:cs="Times New Roman"/>
          <w:bCs/>
          <w:color w:val="auto"/>
        </w:rPr>
        <w:t xml:space="preserve"> seconded, all were in favor. </w:t>
      </w:r>
    </w:p>
    <w:p w14:paraId="617B31E0" w14:textId="4E354913" w:rsidR="002C6C42" w:rsidRPr="00322A51" w:rsidRDefault="002C6C42" w:rsidP="00385F37">
      <w:pPr>
        <w:autoSpaceDE w:val="0"/>
        <w:autoSpaceDN w:val="0"/>
        <w:adjustRightInd w:val="0"/>
        <w:spacing w:after="40"/>
        <w:rPr>
          <w:rFonts w:ascii="Times New Roman" w:hAnsi="Times New Roman" w:cs="Times New Roman"/>
          <w:bCs/>
          <w:color w:val="000000" w:themeColor="text1"/>
        </w:rPr>
      </w:pPr>
    </w:p>
    <w:p w14:paraId="0E8CBF21" w14:textId="0E0EAB96" w:rsidR="002652A6" w:rsidRPr="00487632" w:rsidRDefault="00806F15" w:rsidP="00487632">
      <w:pPr>
        <w:tabs>
          <w:tab w:val="left" w:pos="360"/>
          <w:tab w:val="left" w:pos="810"/>
          <w:tab w:val="left" w:pos="900"/>
        </w:tabs>
        <w:spacing w:after="40" w:line="240" w:lineRule="auto"/>
        <w:rPr>
          <w:rFonts w:ascii="Times New Roman" w:hAnsi="Times New Roman"/>
          <w:b/>
          <w:bCs/>
          <w:color w:val="000000" w:themeColor="text1"/>
          <w:u w:val="single"/>
        </w:rPr>
      </w:pPr>
      <w:r>
        <w:rPr>
          <w:rFonts w:ascii="Times New Roman" w:hAnsi="Times New Roman"/>
          <w:b/>
          <w:bCs/>
          <w:color w:val="000000" w:themeColor="text1"/>
          <w:u w:val="single"/>
        </w:rPr>
        <w:t>Continued Application</w:t>
      </w:r>
      <w:r w:rsidR="00CA5276">
        <w:rPr>
          <w:rFonts w:ascii="Times New Roman" w:hAnsi="Times New Roman"/>
          <w:b/>
          <w:bCs/>
          <w:color w:val="000000" w:themeColor="text1"/>
          <w:u w:val="single"/>
        </w:rPr>
        <w:t>s</w:t>
      </w:r>
      <w:r>
        <w:rPr>
          <w:rFonts w:ascii="Times New Roman" w:hAnsi="Times New Roman"/>
          <w:b/>
          <w:bCs/>
          <w:color w:val="000000" w:themeColor="text1"/>
          <w:u w:val="single"/>
        </w:rPr>
        <w:t>:</w:t>
      </w:r>
      <w:r w:rsidR="002652A6">
        <w:tab/>
      </w:r>
    </w:p>
    <w:p w14:paraId="30A83798" w14:textId="40698761" w:rsidR="00B53CEF" w:rsidRDefault="00B53CEF" w:rsidP="00F71CEB">
      <w:pPr>
        <w:tabs>
          <w:tab w:val="left" w:pos="360"/>
          <w:tab w:val="left" w:pos="810"/>
        </w:tabs>
        <w:spacing w:after="40"/>
        <w:ind w:left="720"/>
        <w:rPr>
          <w:rFonts w:ascii="Times New Roman" w:hAnsi="Times New Roman"/>
          <w:color w:val="000000" w:themeColor="text1"/>
        </w:rPr>
      </w:pPr>
    </w:p>
    <w:p w14:paraId="096048D8" w14:textId="5DC8DF99" w:rsidR="00C97766" w:rsidRPr="008C13AC" w:rsidRDefault="00C97766" w:rsidP="00C97766">
      <w:pPr>
        <w:pStyle w:val="ListParagraph"/>
        <w:numPr>
          <w:ilvl w:val="0"/>
          <w:numId w:val="12"/>
        </w:numPr>
        <w:tabs>
          <w:tab w:val="left" w:pos="360"/>
          <w:tab w:val="left" w:pos="810"/>
          <w:tab w:val="left" w:pos="900"/>
        </w:tabs>
        <w:spacing w:after="40" w:line="240" w:lineRule="auto"/>
        <w:rPr>
          <w:rFonts w:ascii="Times New Roman" w:hAnsi="Times New Roman"/>
          <w:sz w:val="20"/>
        </w:rPr>
      </w:pPr>
      <w:r w:rsidRPr="008C13AC">
        <w:rPr>
          <w:rFonts w:ascii="Times New Roman" w:hAnsi="Times New Roman"/>
          <w:b/>
          <w:bCs/>
          <w:color w:val="auto"/>
          <w:u w:val="single"/>
        </w:rPr>
        <w:t>Station Drive and Rustcraft Road, Jason Mammone, Town of Dedham – Director of Engineering, Applicant – Devin Batchelder, Weston and Sampson, Representative</w:t>
      </w:r>
      <w:r w:rsidRPr="008C13AC">
        <w:rPr>
          <w:rFonts w:ascii="Times New Roman" w:hAnsi="Times New Roman"/>
          <w:color w:val="auto"/>
        </w:rPr>
        <w:t xml:space="preserve"> -  Notice of Intent for sewer improvements (DEP # 141-0562). </w:t>
      </w:r>
      <w:r>
        <w:rPr>
          <w:rFonts w:ascii="Times New Roman" w:hAnsi="Times New Roman"/>
          <w:color w:val="auto"/>
        </w:rPr>
        <w:t xml:space="preserve"> Devin Batchelder was present.</w:t>
      </w:r>
    </w:p>
    <w:p w14:paraId="53F8FA04" w14:textId="151E950C" w:rsidR="00A749F6" w:rsidRDefault="00A749F6" w:rsidP="00A749F6">
      <w:pPr>
        <w:pStyle w:val="Default"/>
        <w:ind w:left="720"/>
        <w:rPr>
          <w:sz w:val="22"/>
          <w:szCs w:val="22"/>
        </w:rPr>
      </w:pPr>
    </w:p>
    <w:p w14:paraId="674EDDDB" w14:textId="4C59A5C7" w:rsidR="00A749F6" w:rsidRDefault="00487632" w:rsidP="00487632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The Commission </w:t>
      </w:r>
      <w:r w:rsidR="00150F6F">
        <w:rPr>
          <w:sz w:val="22"/>
          <w:szCs w:val="22"/>
        </w:rPr>
        <w:t xml:space="preserve">received </w:t>
      </w:r>
      <w:r>
        <w:rPr>
          <w:sz w:val="22"/>
          <w:szCs w:val="22"/>
        </w:rPr>
        <w:t xml:space="preserve">revised </w:t>
      </w:r>
      <w:r w:rsidR="00150F6F">
        <w:rPr>
          <w:sz w:val="22"/>
          <w:szCs w:val="22"/>
        </w:rPr>
        <w:t xml:space="preserve">plans as requested. </w:t>
      </w:r>
    </w:p>
    <w:p w14:paraId="15A0349B" w14:textId="77777777" w:rsidR="000D3073" w:rsidRDefault="000D3073" w:rsidP="00487632">
      <w:pPr>
        <w:pStyle w:val="Default"/>
        <w:ind w:left="720"/>
        <w:rPr>
          <w:sz w:val="22"/>
          <w:szCs w:val="22"/>
        </w:rPr>
      </w:pPr>
    </w:p>
    <w:p w14:paraId="7F337380" w14:textId="22E796BF" w:rsidR="00B53CEF" w:rsidRDefault="00B53CEF" w:rsidP="00A749F6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Commissioner </w:t>
      </w:r>
      <w:r w:rsidR="00150F6F">
        <w:rPr>
          <w:sz w:val="22"/>
          <w:szCs w:val="22"/>
        </w:rPr>
        <w:t>Kayserman made</w:t>
      </w:r>
      <w:r>
        <w:rPr>
          <w:sz w:val="22"/>
          <w:szCs w:val="22"/>
        </w:rPr>
        <w:t xml:space="preserve"> a motion </w:t>
      </w:r>
      <w:r w:rsidR="00150F6F">
        <w:rPr>
          <w:sz w:val="22"/>
          <w:szCs w:val="22"/>
        </w:rPr>
        <w:t xml:space="preserve">to </w:t>
      </w:r>
      <w:r w:rsidR="00DD07C3">
        <w:rPr>
          <w:sz w:val="22"/>
          <w:szCs w:val="22"/>
        </w:rPr>
        <w:t xml:space="preserve">close the hearing and issue an </w:t>
      </w:r>
      <w:r w:rsidR="00150F6F">
        <w:rPr>
          <w:sz w:val="22"/>
          <w:szCs w:val="22"/>
        </w:rPr>
        <w:t>O</w:t>
      </w:r>
      <w:r w:rsidR="00DD07C3">
        <w:rPr>
          <w:sz w:val="22"/>
          <w:szCs w:val="22"/>
        </w:rPr>
        <w:t>O</w:t>
      </w:r>
      <w:r w:rsidR="00150F6F">
        <w:rPr>
          <w:sz w:val="22"/>
          <w:szCs w:val="22"/>
        </w:rPr>
        <w:t>C.</w:t>
      </w:r>
      <w:r w:rsidR="00E033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Commissioner </w:t>
      </w:r>
      <w:r w:rsidR="00E033FD">
        <w:rPr>
          <w:sz w:val="22"/>
          <w:szCs w:val="22"/>
        </w:rPr>
        <w:t>Radner</w:t>
      </w:r>
      <w:r>
        <w:rPr>
          <w:sz w:val="22"/>
          <w:szCs w:val="22"/>
        </w:rPr>
        <w:t xml:space="preserve"> seconded. All were in favor. </w:t>
      </w:r>
    </w:p>
    <w:p w14:paraId="2091E35B" w14:textId="17CBD614" w:rsidR="00E033FD" w:rsidRDefault="00E033FD" w:rsidP="00A749F6">
      <w:pPr>
        <w:pStyle w:val="Default"/>
        <w:ind w:left="720"/>
        <w:rPr>
          <w:sz w:val="22"/>
          <w:szCs w:val="22"/>
        </w:rPr>
      </w:pPr>
    </w:p>
    <w:p w14:paraId="7AC6514B" w14:textId="77777777" w:rsidR="00150F6F" w:rsidRPr="00150F6F" w:rsidRDefault="00E033FD" w:rsidP="00150F6F">
      <w:pPr>
        <w:pStyle w:val="ListParagraph"/>
        <w:numPr>
          <w:ilvl w:val="0"/>
          <w:numId w:val="12"/>
        </w:numPr>
        <w:tabs>
          <w:tab w:val="left" w:pos="360"/>
          <w:tab w:val="left" w:pos="990"/>
        </w:tabs>
        <w:spacing w:after="40" w:line="240" w:lineRule="auto"/>
        <w:rPr>
          <w:sz w:val="20"/>
          <w:szCs w:val="20"/>
          <w:u w:val="single"/>
        </w:rPr>
      </w:pPr>
      <w:r w:rsidRPr="00150F6F">
        <w:rPr>
          <w:rFonts w:ascii="Times New Roman" w:hAnsi="Times New Roman"/>
          <w:b/>
          <w:color w:val="auto"/>
          <w:u w:val="single"/>
        </w:rPr>
        <w:t>123 Westfield Street- Lots 1 and 2, Oliver Garry, Westfield Crossing LLC, Applicant – David Johnson, Norwood Engineering, Representative</w:t>
      </w:r>
      <w:r w:rsidRPr="00150F6F">
        <w:rPr>
          <w:rFonts w:ascii="Times New Roman" w:hAnsi="Times New Roman"/>
          <w:color w:val="auto"/>
        </w:rPr>
        <w:t xml:space="preserve"> – Demolition of existing dwelling and construction of a new single family dwelling with septic system, including work within UBA (DEP File #141-0548 and 141-0549, MSMP 2019-03 and 2019-04).</w:t>
      </w:r>
      <w:r w:rsidR="00334C56" w:rsidRPr="00150F6F">
        <w:rPr>
          <w:rFonts w:ascii="Times New Roman" w:hAnsi="Times New Roman"/>
          <w:color w:val="auto"/>
        </w:rPr>
        <w:t xml:space="preserve"> </w:t>
      </w:r>
      <w:r w:rsidR="00150F6F">
        <w:rPr>
          <w:rFonts w:ascii="Times New Roman" w:hAnsi="Times New Roman"/>
          <w:color w:val="auto"/>
        </w:rPr>
        <w:t xml:space="preserve"> </w:t>
      </w:r>
    </w:p>
    <w:p w14:paraId="47A59051" w14:textId="77777777" w:rsidR="00150F6F" w:rsidRPr="00150F6F" w:rsidRDefault="00150F6F" w:rsidP="00150F6F">
      <w:pPr>
        <w:pStyle w:val="ListParagraph"/>
        <w:tabs>
          <w:tab w:val="left" w:pos="360"/>
          <w:tab w:val="left" w:pos="990"/>
        </w:tabs>
        <w:spacing w:after="40" w:line="240" w:lineRule="auto"/>
        <w:rPr>
          <w:sz w:val="20"/>
          <w:szCs w:val="20"/>
          <w:u w:val="single"/>
        </w:rPr>
      </w:pPr>
    </w:p>
    <w:p w14:paraId="02426B59" w14:textId="0E4A1885" w:rsidR="004D262D" w:rsidRDefault="00BC2A2D" w:rsidP="00150F6F">
      <w:pPr>
        <w:pStyle w:val="ListParagraph"/>
        <w:tabs>
          <w:tab w:val="left" w:pos="360"/>
          <w:tab w:val="left" w:pos="990"/>
        </w:tabs>
        <w:spacing w:after="40" w:line="24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Matt Smith</w:t>
      </w:r>
      <w:r w:rsidR="00395BF4">
        <w:rPr>
          <w:rFonts w:ascii="Times New Roman" w:hAnsi="Times New Roman"/>
          <w:color w:val="auto"/>
        </w:rPr>
        <w:t>, the Applicant</w:t>
      </w:r>
      <w:r w:rsidR="00842EA4">
        <w:rPr>
          <w:rFonts w:ascii="Times New Roman" w:hAnsi="Times New Roman"/>
          <w:color w:val="auto"/>
        </w:rPr>
        <w:t>’</w:t>
      </w:r>
      <w:r w:rsidR="00395BF4">
        <w:rPr>
          <w:rFonts w:ascii="Times New Roman" w:hAnsi="Times New Roman"/>
          <w:color w:val="auto"/>
        </w:rPr>
        <w:t>s representative,</w:t>
      </w:r>
      <w:r w:rsidR="00150F6F">
        <w:rPr>
          <w:rFonts w:ascii="Times New Roman" w:hAnsi="Times New Roman"/>
          <w:color w:val="auto"/>
        </w:rPr>
        <w:t xml:space="preserve"> </w:t>
      </w:r>
      <w:r w:rsidR="00DD07C3">
        <w:rPr>
          <w:rFonts w:ascii="Times New Roman" w:hAnsi="Times New Roman"/>
          <w:color w:val="auto"/>
        </w:rPr>
        <w:t>summarized</w:t>
      </w:r>
      <w:r w:rsidR="004D262D">
        <w:rPr>
          <w:rFonts w:ascii="Times New Roman" w:hAnsi="Times New Roman"/>
          <w:color w:val="auto"/>
        </w:rPr>
        <w:t xml:space="preserve"> </w:t>
      </w:r>
      <w:r w:rsidR="00395BF4">
        <w:rPr>
          <w:rFonts w:ascii="Times New Roman" w:hAnsi="Times New Roman"/>
          <w:color w:val="auto"/>
        </w:rPr>
        <w:t>the</w:t>
      </w:r>
      <w:r w:rsidR="004D262D">
        <w:rPr>
          <w:rFonts w:ascii="Times New Roman" w:hAnsi="Times New Roman"/>
          <w:color w:val="auto"/>
        </w:rPr>
        <w:t xml:space="preserve"> </w:t>
      </w:r>
      <w:r w:rsidR="00DD07C3">
        <w:rPr>
          <w:rFonts w:ascii="Times New Roman" w:hAnsi="Times New Roman"/>
          <w:color w:val="auto"/>
        </w:rPr>
        <w:t xml:space="preserve">proposed </w:t>
      </w:r>
      <w:r w:rsidR="00150F6F">
        <w:rPr>
          <w:rFonts w:ascii="Times New Roman" w:hAnsi="Times New Roman"/>
          <w:color w:val="auto"/>
        </w:rPr>
        <w:t>desig</w:t>
      </w:r>
      <w:r w:rsidR="004D262D">
        <w:rPr>
          <w:rFonts w:ascii="Times New Roman" w:hAnsi="Times New Roman"/>
          <w:color w:val="auto"/>
        </w:rPr>
        <w:t>n</w:t>
      </w:r>
      <w:r w:rsidR="00DD07C3">
        <w:rPr>
          <w:rFonts w:ascii="Times New Roman" w:hAnsi="Times New Roman"/>
          <w:color w:val="auto"/>
        </w:rPr>
        <w:t>,</w:t>
      </w:r>
      <w:r w:rsidR="004D262D">
        <w:rPr>
          <w:rFonts w:ascii="Times New Roman" w:hAnsi="Times New Roman"/>
          <w:color w:val="auto"/>
        </w:rPr>
        <w:t xml:space="preserve"> which </w:t>
      </w:r>
      <w:r w:rsidR="00DD07C3">
        <w:rPr>
          <w:rFonts w:ascii="Times New Roman" w:hAnsi="Times New Roman"/>
          <w:color w:val="auto"/>
        </w:rPr>
        <w:t>includes</w:t>
      </w:r>
      <w:r w:rsidR="004D262D">
        <w:rPr>
          <w:rFonts w:ascii="Times New Roman" w:hAnsi="Times New Roman"/>
          <w:color w:val="auto"/>
        </w:rPr>
        <w:t xml:space="preserve"> a</w:t>
      </w:r>
      <w:r w:rsidR="00150F6F">
        <w:rPr>
          <w:rFonts w:ascii="Times New Roman" w:hAnsi="Times New Roman"/>
          <w:color w:val="auto"/>
        </w:rPr>
        <w:t xml:space="preserve"> pervious paver turn around at the 2</w:t>
      </w:r>
      <w:r w:rsidR="00150F6F" w:rsidRPr="00150F6F">
        <w:rPr>
          <w:rFonts w:ascii="Times New Roman" w:hAnsi="Times New Roman"/>
          <w:color w:val="auto"/>
          <w:vertAlign w:val="superscript"/>
        </w:rPr>
        <w:t>nd</w:t>
      </w:r>
      <w:r w:rsidR="00150F6F">
        <w:rPr>
          <w:rFonts w:ascii="Times New Roman" w:hAnsi="Times New Roman"/>
          <w:color w:val="auto"/>
        </w:rPr>
        <w:t xml:space="preserve"> </w:t>
      </w:r>
      <w:r w:rsidR="00395BF4">
        <w:rPr>
          <w:rFonts w:ascii="Times New Roman" w:hAnsi="Times New Roman"/>
          <w:color w:val="auto"/>
        </w:rPr>
        <w:t xml:space="preserve">(western) </w:t>
      </w:r>
      <w:r w:rsidR="00150F6F">
        <w:rPr>
          <w:rFonts w:ascii="Times New Roman" w:hAnsi="Times New Roman"/>
          <w:color w:val="auto"/>
        </w:rPr>
        <w:t xml:space="preserve">property. </w:t>
      </w:r>
      <w:r w:rsidR="00DD07C3">
        <w:rPr>
          <w:rFonts w:ascii="Times New Roman" w:hAnsi="Times New Roman"/>
          <w:color w:val="auto"/>
        </w:rPr>
        <w:t xml:space="preserve">He mentioned that the driveway would be within </w:t>
      </w:r>
      <w:r w:rsidR="00150F6F">
        <w:rPr>
          <w:rFonts w:ascii="Times New Roman" w:hAnsi="Times New Roman"/>
          <w:color w:val="auto"/>
        </w:rPr>
        <w:t xml:space="preserve">12 feet </w:t>
      </w:r>
      <w:r w:rsidR="00DD07C3">
        <w:rPr>
          <w:rFonts w:ascii="Times New Roman" w:hAnsi="Times New Roman"/>
          <w:color w:val="auto"/>
        </w:rPr>
        <w:t>of the Bordering Vegetated Wetland (BVW)</w:t>
      </w:r>
      <w:r w:rsidR="00150F6F">
        <w:rPr>
          <w:rFonts w:ascii="Times New Roman" w:hAnsi="Times New Roman"/>
          <w:color w:val="auto"/>
        </w:rPr>
        <w:t xml:space="preserve">. In </w:t>
      </w:r>
      <w:r w:rsidR="004D262D">
        <w:rPr>
          <w:rFonts w:ascii="Times New Roman" w:hAnsi="Times New Roman"/>
          <w:color w:val="auto"/>
        </w:rPr>
        <w:t>addition,</w:t>
      </w:r>
      <w:r w:rsidR="00150F6F">
        <w:rPr>
          <w:rFonts w:ascii="Times New Roman" w:hAnsi="Times New Roman"/>
          <w:color w:val="auto"/>
        </w:rPr>
        <w:t xml:space="preserve"> he </w:t>
      </w:r>
      <w:r w:rsidR="004D262D">
        <w:rPr>
          <w:rFonts w:ascii="Times New Roman" w:hAnsi="Times New Roman"/>
          <w:color w:val="auto"/>
        </w:rPr>
        <w:t xml:space="preserve">reported </w:t>
      </w:r>
      <w:r w:rsidR="00DD07C3">
        <w:rPr>
          <w:rFonts w:ascii="Times New Roman" w:hAnsi="Times New Roman"/>
          <w:color w:val="auto"/>
        </w:rPr>
        <w:t xml:space="preserve">that the design satisfies the requirement for </w:t>
      </w:r>
      <w:r w:rsidR="00150F6F">
        <w:rPr>
          <w:rFonts w:ascii="Times New Roman" w:hAnsi="Times New Roman"/>
          <w:color w:val="auto"/>
        </w:rPr>
        <w:t>TSS removal</w:t>
      </w:r>
      <w:r w:rsidR="00DD07C3">
        <w:rPr>
          <w:rFonts w:ascii="Times New Roman" w:hAnsi="Times New Roman"/>
          <w:color w:val="auto"/>
        </w:rPr>
        <w:t>, storage of &gt;</w:t>
      </w:r>
      <w:r w:rsidR="00150F6F">
        <w:rPr>
          <w:rFonts w:ascii="Times New Roman" w:hAnsi="Times New Roman"/>
          <w:color w:val="auto"/>
        </w:rPr>
        <w:t xml:space="preserve">2 inches capacity and </w:t>
      </w:r>
      <w:r w:rsidR="00DD07C3">
        <w:rPr>
          <w:rFonts w:ascii="Times New Roman" w:hAnsi="Times New Roman"/>
          <w:color w:val="auto"/>
        </w:rPr>
        <w:t>post-development peak discharge and volume less than or equal to pre-development.</w:t>
      </w:r>
      <w:r w:rsidR="004D262D">
        <w:rPr>
          <w:rFonts w:ascii="Times New Roman" w:hAnsi="Times New Roman"/>
          <w:color w:val="auto"/>
        </w:rPr>
        <w:t xml:space="preserve">  He did not propose any wetland improvements and indicated that a total of 44 trees would be removed from </w:t>
      </w:r>
      <w:r w:rsidR="00DD07C3">
        <w:rPr>
          <w:rFonts w:ascii="Times New Roman" w:hAnsi="Times New Roman"/>
          <w:color w:val="auto"/>
        </w:rPr>
        <w:t>L</w:t>
      </w:r>
      <w:r w:rsidR="004D262D">
        <w:rPr>
          <w:rFonts w:ascii="Times New Roman" w:hAnsi="Times New Roman"/>
          <w:color w:val="auto"/>
        </w:rPr>
        <w:t xml:space="preserve">ot 1 and 36 trees would be removed from </w:t>
      </w:r>
      <w:r w:rsidR="00DD07C3">
        <w:rPr>
          <w:rFonts w:ascii="Times New Roman" w:hAnsi="Times New Roman"/>
          <w:color w:val="auto"/>
        </w:rPr>
        <w:t>L</w:t>
      </w:r>
      <w:r w:rsidR="004D262D">
        <w:rPr>
          <w:rFonts w:ascii="Times New Roman" w:hAnsi="Times New Roman"/>
          <w:color w:val="auto"/>
        </w:rPr>
        <w:t xml:space="preserve">ot 2. He proposed a total of 17 replacement trees to be distributed between the lots. </w:t>
      </w:r>
    </w:p>
    <w:p w14:paraId="2C664E59" w14:textId="77777777" w:rsidR="00DD07C3" w:rsidRDefault="00DD07C3" w:rsidP="00150F6F">
      <w:pPr>
        <w:pStyle w:val="ListParagraph"/>
        <w:tabs>
          <w:tab w:val="left" w:pos="360"/>
          <w:tab w:val="left" w:pos="990"/>
        </w:tabs>
        <w:spacing w:after="40" w:line="240" w:lineRule="auto"/>
        <w:rPr>
          <w:rFonts w:ascii="Times New Roman" w:hAnsi="Times New Roman"/>
          <w:color w:val="auto"/>
        </w:rPr>
      </w:pPr>
    </w:p>
    <w:p w14:paraId="6C5FB340" w14:textId="4B9B69AD" w:rsidR="00F752EE" w:rsidRDefault="00150F6F" w:rsidP="00150F6F">
      <w:pPr>
        <w:pStyle w:val="ListParagraph"/>
        <w:tabs>
          <w:tab w:val="left" w:pos="360"/>
          <w:tab w:val="left" w:pos="990"/>
        </w:tabs>
        <w:spacing w:after="40" w:line="24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Commissioner Kayserman asked if the impervious area could be removed from the Buffer Zone and questioned the placement of the building and the lawn </w:t>
      </w:r>
      <w:r w:rsidR="00A27DD8">
        <w:rPr>
          <w:rFonts w:ascii="Times New Roman" w:hAnsi="Times New Roman"/>
          <w:color w:val="auto"/>
        </w:rPr>
        <w:t>within</w:t>
      </w:r>
      <w:r>
        <w:rPr>
          <w:rFonts w:ascii="Times New Roman" w:hAnsi="Times New Roman"/>
          <w:color w:val="auto"/>
        </w:rPr>
        <w:t xml:space="preserve"> the Undisturbed Buffer Area</w:t>
      </w:r>
      <w:r w:rsidR="00DD07C3">
        <w:rPr>
          <w:rFonts w:ascii="Times New Roman" w:hAnsi="Times New Roman"/>
          <w:color w:val="auto"/>
        </w:rPr>
        <w:t xml:space="preserve"> (UBA)</w:t>
      </w:r>
      <w:r w:rsidR="004D262D">
        <w:rPr>
          <w:rFonts w:ascii="Times New Roman" w:hAnsi="Times New Roman"/>
          <w:color w:val="auto"/>
        </w:rPr>
        <w:t>. She also shared her concern about the placement of the home and requested that the applicant consider alternative house shapes to stay out of the UBA</w:t>
      </w:r>
      <w:r w:rsidR="00A27DD8">
        <w:rPr>
          <w:rFonts w:ascii="Times New Roman" w:hAnsi="Times New Roman"/>
          <w:color w:val="auto"/>
        </w:rPr>
        <w:t xml:space="preserve">.  Additionally, Ms. Kayserman </w:t>
      </w:r>
      <w:r w:rsidR="004D262D">
        <w:rPr>
          <w:rFonts w:ascii="Times New Roman" w:hAnsi="Times New Roman"/>
          <w:color w:val="auto"/>
        </w:rPr>
        <w:t xml:space="preserve"> noted that the plan contained minimal vegetation proposals with zero improvements to the area. </w:t>
      </w:r>
      <w:r>
        <w:rPr>
          <w:rFonts w:ascii="Times New Roman" w:hAnsi="Times New Roman"/>
          <w:color w:val="auto"/>
        </w:rPr>
        <w:t xml:space="preserve"> </w:t>
      </w:r>
      <w:r w:rsidR="004D262D">
        <w:rPr>
          <w:rFonts w:ascii="Times New Roman" w:hAnsi="Times New Roman"/>
          <w:color w:val="auto"/>
        </w:rPr>
        <w:t xml:space="preserve">Agent Brown noted the location of the septic system and requested the applicant check the </w:t>
      </w:r>
      <w:r w:rsidR="00F752EE">
        <w:rPr>
          <w:rFonts w:ascii="Times New Roman" w:hAnsi="Times New Roman"/>
          <w:color w:val="auto"/>
        </w:rPr>
        <w:t xml:space="preserve">required stormwater system </w:t>
      </w:r>
      <w:r w:rsidR="004D262D">
        <w:rPr>
          <w:rFonts w:ascii="Times New Roman" w:hAnsi="Times New Roman"/>
          <w:color w:val="auto"/>
        </w:rPr>
        <w:t xml:space="preserve">setback. </w:t>
      </w:r>
      <w:r>
        <w:rPr>
          <w:rFonts w:ascii="Times New Roman" w:hAnsi="Times New Roman"/>
          <w:color w:val="auto"/>
        </w:rPr>
        <w:t xml:space="preserve"> Commissioner Gauthier asked that the O&amp;M Plan be updated</w:t>
      </w:r>
      <w:r w:rsidR="00F752EE">
        <w:rPr>
          <w:rFonts w:ascii="Times New Roman" w:hAnsi="Times New Roman"/>
          <w:color w:val="auto"/>
        </w:rPr>
        <w:t>.</w:t>
      </w:r>
      <w:r>
        <w:rPr>
          <w:rFonts w:ascii="Times New Roman" w:hAnsi="Times New Roman"/>
          <w:color w:val="auto"/>
        </w:rPr>
        <w:t xml:space="preserve">  Commissioner Radner asked for confirmation </w:t>
      </w:r>
      <w:r w:rsidR="00F752EE">
        <w:rPr>
          <w:rFonts w:ascii="Times New Roman" w:hAnsi="Times New Roman"/>
          <w:color w:val="auto"/>
        </w:rPr>
        <w:t xml:space="preserve">that </w:t>
      </w:r>
      <w:r>
        <w:rPr>
          <w:rFonts w:ascii="Times New Roman" w:hAnsi="Times New Roman"/>
          <w:color w:val="auto"/>
        </w:rPr>
        <w:t xml:space="preserve">the pervious pavers </w:t>
      </w:r>
      <w:r w:rsidR="00F752EE">
        <w:rPr>
          <w:rFonts w:ascii="Times New Roman" w:hAnsi="Times New Roman"/>
          <w:color w:val="auto"/>
        </w:rPr>
        <w:t xml:space="preserve">in the turn-around area could support the weight of fire trucks </w:t>
      </w:r>
      <w:r w:rsidR="004D262D">
        <w:rPr>
          <w:rFonts w:ascii="Times New Roman" w:hAnsi="Times New Roman"/>
          <w:color w:val="auto"/>
        </w:rPr>
        <w:t xml:space="preserve">and asked for </w:t>
      </w:r>
      <w:r w:rsidR="00F752EE">
        <w:rPr>
          <w:rFonts w:ascii="Times New Roman" w:hAnsi="Times New Roman"/>
          <w:color w:val="auto"/>
        </w:rPr>
        <w:t>more</w:t>
      </w:r>
      <w:r w:rsidR="004D262D">
        <w:rPr>
          <w:rFonts w:ascii="Times New Roman" w:hAnsi="Times New Roman"/>
          <w:color w:val="auto"/>
        </w:rPr>
        <w:t xml:space="preserve"> shrubs</w:t>
      </w:r>
      <w:r w:rsidR="00F752EE">
        <w:rPr>
          <w:rFonts w:ascii="Times New Roman" w:hAnsi="Times New Roman"/>
          <w:color w:val="auto"/>
        </w:rPr>
        <w:t xml:space="preserve">, with species type, be included </w:t>
      </w:r>
      <w:r w:rsidR="004D262D">
        <w:rPr>
          <w:rFonts w:ascii="Times New Roman" w:hAnsi="Times New Roman"/>
          <w:color w:val="auto"/>
        </w:rPr>
        <w:t xml:space="preserve">on the planting plan.  Commissioner Garlick asked if the </w:t>
      </w:r>
      <w:r w:rsidR="00395BF4">
        <w:rPr>
          <w:rFonts w:ascii="Times New Roman" w:hAnsi="Times New Roman"/>
          <w:color w:val="auto"/>
        </w:rPr>
        <w:t xml:space="preserve">existing </w:t>
      </w:r>
      <w:r w:rsidR="004D262D">
        <w:rPr>
          <w:rFonts w:ascii="Times New Roman" w:hAnsi="Times New Roman"/>
          <w:color w:val="auto"/>
        </w:rPr>
        <w:t xml:space="preserve">concrete walkway </w:t>
      </w:r>
      <w:r w:rsidR="00F752EE">
        <w:rPr>
          <w:rFonts w:ascii="Times New Roman" w:hAnsi="Times New Roman"/>
          <w:color w:val="auto"/>
        </w:rPr>
        <w:t xml:space="preserve">was </w:t>
      </w:r>
      <w:r w:rsidR="004D262D">
        <w:rPr>
          <w:rFonts w:ascii="Times New Roman" w:hAnsi="Times New Roman"/>
          <w:color w:val="auto"/>
        </w:rPr>
        <w:t xml:space="preserve">shown as a limit of the UBA.  </w:t>
      </w:r>
    </w:p>
    <w:p w14:paraId="182CF822" w14:textId="77777777" w:rsidR="00F752EE" w:rsidRDefault="00F752EE" w:rsidP="00150F6F">
      <w:pPr>
        <w:pStyle w:val="ListParagraph"/>
        <w:tabs>
          <w:tab w:val="left" w:pos="360"/>
          <w:tab w:val="left" w:pos="990"/>
        </w:tabs>
        <w:spacing w:after="40" w:line="240" w:lineRule="auto"/>
        <w:rPr>
          <w:rFonts w:ascii="Times New Roman" w:hAnsi="Times New Roman"/>
          <w:color w:val="auto"/>
        </w:rPr>
      </w:pPr>
    </w:p>
    <w:p w14:paraId="24AD2B0F" w14:textId="79350BDD" w:rsidR="00150F6F" w:rsidRPr="00150F6F" w:rsidRDefault="004D262D" w:rsidP="00150F6F">
      <w:pPr>
        <w:pStyle w:val="ListParagraph"/>
        <w:tabs>
          <w:tab w:val="left" w:pos="360"/>
          <w:tab w:val="left" w:pos="990"/>
        </w:tabs>
        <w:spacing w:after="40" w:line="24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Commissioner Kayserman made a motion to continue </w:t>
      </w:r>
      <w:r w:rsidR="00F752EE">
        <w:rPr>
          <w:rFonts w:ascii="Times New Roman" w:hAnsi="Times New Roman"/>
          <w:color w:val="auto"/>
        </w:rPr>
        <w:t xml:space="preserve">the hearing </w:t>
      </w:r>
      <w:r>
        <w:rPr>
          <w:rFonts w:ascii="Times New Roman" w:hAnsi="Times New Roman"/>
          <w:color w:val="auto"/>
        </w:rPr>
        <w:t xml:space="preserve">until </w:t>
      </w:r>
      <w:r w:rsidR="00B30D5D">
        <w:rPr>
          <w:rFonts w:ascii="Times New Roman" w:hAnsi="Times New Roman"/>
          <w:color w:val="auto"/>
        </w:rPr>
        <w:t>March 19</w:t>
      </w:r>
      <w:r w:rsidR="00F752EE">
        <w:rPr>
          <w:rFonts w:ascii="Times New Roman" w:hAnsi="Times New Roman"/>
          <w:color w:val="auto"/>
        </w:rPr>
        <w:t>, 2020</w:t>
      </w:r>
      <w:r>
        <w:rPr>
          <w:rFonts w:ascii="Times New Roman" w:hAnsi="Times New Roman"/>
          <w:color w:val="auto"/>
        </w:rPr>
        <w:t xml:space="preserve">.  Commissioner Radner seconded. </w:t>
      </w:r>
      <w:r w:rsidR="00F752EE">
        <w:rPr>
          <w:rFonts w:ascii="Times New Roman" w:hAnsi="Times New Roman"/>
          <w:color w:val="auto"/>
        </w:rPr>
        <w:t>All were in favor</w:t>
      </w:r>
      <w:r w:rsidR="00395BF4">
        <w:rPr>
          <w:rFonts w:ascii="Times New Roman" w:hAnsi="Times New Roman"/>
          <w:color w:val="auto"/>
        </w:rPr>
        <w:t>.</w:t>
      </w:r>
    </w:p>
    <w:p w14:paraId="1A301C3B" w14:textId="77777777" w:rsidR="00150F6F" w:rsidRPr="00150F6F" w:rsidRDefault="00150F6F" w:rsidP="00150F6F">
      <w:pPr>
        <w:pStyle w:val="ListParagraph"/>
        <w:tabs>
          <w:tab w:val="left" w:pos="360"/>
          <w:tab w:val="left" w:pos="990"/>
        </w:tabs>
        <w:spacing w:after="40" w:line="240" w:lineRule="auto"/>
        <w:ind w:left="1170"/>
        <w:rPr>
          <w:sz w:val="20"/>
          <w:szCs w:val="20"/>
          <w:u w:val="single"/>
        </w:rPr>
      </w:pPr>
    </w:p>
    <w:p w14:paraId="69C3A67D" w14:textId="11D6FF20" w:rsidR="00AE660C" w:rsidRDefault="00AE660C" w:rsidP="00AB4D70">
      <w:pPr>
        <w:pStyle w:val="Default"/>
        <w:ind w:left="1170" w:hanging="180"/>
        <w:rPr>
          <w:sz w:val="22"/>
          <w:szCs w:val="22"/>
        </w:rPr>
      </w:pPr>
    </w:p>
    <w:p w14:paraId="22D1BC3E" w14:textId="7004C870" w:rsidR="00AE660C" w:rsidRPr="00444700" w:rsidRDefault="00AE660C" w:rsidP="00AE660C">
      <w:pPr>
        <w:pStyle w:val="ListParagraph"/>
        <w:numPr>
          <w:ilvl w:val="0"/>
          <w:numId w:val="12"/>
        </w:numPr>
        <w:spacing w:after="40"/>
        <w:outlineLvl w:val="0"/>
        <w:rPr>
          <w:rFonts w:ascii="Times New Roman" w:hAnsi="Times New Roman"/>
          <w:b/>
          <w:bCs/>
          <w:color w:val="auto"/>
          <w:u w:val="single"/>
        </w:rPr>
      </w:pPr>
      <w:r w:rsidRPr="00AE660C">
        <w:rPr>
          <w:rFonts w:ascii="Times New Roman" w:hAnsi="Times New Roman"/>
          <w:b/>
          <w:bCs/>
          <w:color w:val="auto"/>
          <w:u w:val="single"/>
        </w:rPr>
        <w:t>177 Meadowbrook Road, Marie Louise Kehoe and Family, Applicant – Paul Lindholm, Representative</w:t>
      </w:r>
      <w:r w:rsidRPr="00AE660C">
        <w:rPr>
          <w:rFonts w:ascii="Times New Roman" w:hAnsi="Times New Roman"/>
          <w:color w:val="auto"/>
        </w:rPr>
        <w:t xml:space="preserve"> – New SFD on undeveloped lot (DEP # 141-0561, MSMP 2019-17)</w:t>
      </w:r>
      <w:r w:rsidR="00444700">
        <w:rPr>
          <w:rFonts w:ascii="Times New Roman" w:hAnsi="Times New Roman"/>
          <w:color w:val="auto"/>
        </w:rPr>
        <w:t xml:space="preserve"> Paul Lindholm, David Gorden, and John Haven were present.</w:t>
      </w:r>
    </w:p>
    <w:p w14:paraId="028A679A" w14:textId="77777777" w:rsidR="00444700" w:rsidRPr="00AE660C" w:rsidRDefault="00444700" w:rsidP="00444700">
      <w:pPr>
        <w:pStyle w:val="ListParagraph"/>
        <w:spacing w:after="40"/>
        <w:outlineLvl w:val="0"/>
        <w:rPr>
          <w:rFonts w:ascii="Times New Roman" w:hAnsi="Times New Roman"/>
          <w:b/>
          <w:bCs/>
          <w:color w:val="auto"/>
          <w:u w:val="single"/>
        </w:rPr>
      </w:pPr>
    </w:p>
    <w:p w14:paraId="41508AF1" w14:textId="7F5BA4A7" w:rsidR="00334C56" w:rsidRDefault="00B30D5D" w:rsidP="000D3073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>Mr. Lindholm</w:t>
      </w:r>
      <w:r w:rsidR="00334C56">
        <w:rPr>
          <w:sz w:val="22"/>
          <w:szCs w:val="22"/>
        </w:rPr>
        <w:t xml:space="preserve"> presented the revised plan that showed the </w:t>
      </w:r>
      <w:r>
        <w:rPr>
          <w:sz w:val="22"/>
          <w:szCs w:val="22"/>
        </w:rPr>
        <w:t xml:space="preserve">removal of the </w:t>
      </w:r>
      <w:r w:rsidR="00F752EE">
        <w:rPr>
          <w:sz w:val="22"/>
          <w:szCs w:val="22"/>
        </w:rPr>
        <w:t xml:space="preserve">back </w:t>
      </w:r>
      <w:r>
        <w:rPr>
          <w:sz w:val="22"/>
          <w:szCs w:val="22"/>
        </w:rPr>
        <w:t xml:space="preserve">leaching system and </w:t>
      </w:r>
      <w:r w:rsidR="00F752EE">
        <w:rPr>
          <w:sz w:val="22"/>
          <w:szCs w:val="22"/>
        </w:rPr>
        <w:t xml:space="preserve">re-routing of that water </w:t>
      </w:r>
      <w:r>
        <w:rPr>
          <w:sz w:val="22"/>
          <w:szCs w:val="22"/>
        </w:rPr>
        <w:t>to the front detention system</w:t>
      </w:r>
      <w:r w:rsidR="00F752EE">
        <w:rPr>
          <w:sz w:val="22"/>
          <w:szCs w:val="22"/>
        </w:rPr>
        <w:t xml:space="preserve">, eliminating the </w:t>
      </w:r>
      <w:r>
        <w:rPr>
          <w:sz w:val="22"/>
          <w:szCs w:val="22"/>
        </w:rPr>
        <w:t xml:space="preserve">need </w:t>
      </w:r>
      <w:r w:rsidR="00F752EE">
        <w:rPr>
          <w:sz w:val="22"/>
          <w:szCs w:val="22"/>
        </w:rPr>
        <w:t xml:space="preserve">for </w:t>
      </w:r>
      <w:r>
        <w:rPr>
          <w:sz w:val="22"/>
          <w:szCs w:val="22"/>
        </w:rPr>
        <w:t xml:space="preserve">a waiver.  He stated that he had resubmitted the hydrology report as well as revised the O&amp;M Plan to include the costs as well as tree protection detail. He additionally submitted a revised landscape plan with the same numbers but different arrangement of species and extend the limit of work to move trees around. The applicant will be requesting a waiver from the 2:1 tree </w:t>
      </w:r>
      <w:r w:rsidR="00395BF4">
        <w:rPr>
          <w:sz w:val="22"/>
          <w:szCs w:val="22"/>
        </w:rPr>
        <w:t xml:space="preserve">replacement </w:t>
      </w:r>
      <w:r>
        <w:rPr>
          <w:sz w:val="22"/>
          <w:szCs w:val="22"/>
        </w:rPr>
        <w:t>requirement</w:t>
      </w:r>
      <w:r w:rsidR="00395BF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334C56">
        <w:rPr>
          <w:sz w:val="22"/>
          <w:szCs w:val="22"/>
        </w:rPr>
        <w:t>The Commission requested the following be included on the revised plan: tree protection detail during construction that would consist of fencing around trees</w:t>
      </w:r>
      <w:r>
        <w:rPr>
          <w:sz w:val="22"/>
          <w:szCs w:val="22"/>
        </w:rPr>
        <w:t xml:space="preserve"> a</w:t>
      </w:r>
      <w:r w:rsidR="00395BF4">
        <w:rPr>
          <w:sz w:val="22"/>
          <w:szCs w:val="22"/>
        </w:rPr>
        <w:t>nd</w:t>
      </w:r>
      <w:r>
        <w:rPr>
          <w:sz w:val="22"/>
          <w:szCs w:val="22"/>
        </w:rPr>
        <w:t xml:space="preserve"> a construction fence at the UBA, </w:t>
      </w:r>
      <w:r w:rsidR="00F752EE">
        <w:rPr>
          <w:sz w:val="22"/>
          <w:szCs w:val="22"/>
        </w:rPr>
        <w:t>stone or markers</w:t>
      </w:r>
      <w:r>
        <w:rPr>
          <w:sz w:val="22"/>
          <w:szCs w:val="22"/>
        </w:rPr>
        <w:t xml:space="preserve"> placed to show limit of work</w:t>
      </w:r>
      <w:r w:rsidR="00334C56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and </w:t>
      </w:r>
      <w:r w:rsidR="00444700">
        <w:rPr>
          <w:sz w:val="22"/>
          <w:szCs w:val="22"/>
        </w:rPr>
        <w:t>a temporary dewatering detail</w:t>
      </w:r>
      <w:r>
        <w:rPr>
          <w:sz w:val="22"/>
          <w:szCs w:val="22"/>
        </w:rPr>
        <w:t xml:space="preserve">. Commissioner Kayserman </w:t>
      </w:r>
      <w:r w:rsidR="00F752EE">
        <w:rPr>
          <w:sz w:val="22"/>
          <w:szCs w:val="22"/>
        </w:rPr>
        <w:t>expressed continued concern</w:t>
      </w:r>
      <w:r>
        <w:rPr>
          <w:sz w:val="22"/>
          <w:szCs w:val="22"/>
        </w:rPr>
        <w:t xml:space="preserve"> </w:t>
      </w:r>
      <w:r w:rsidR="00842EA4">
        <w:rPr>
          <w:sz w:val="22"/>
          <w:szCs w:val="22"/>
        </w:rPr>
        <w:t>about</w:t>
      </w:r>
      <w:r w:rsidR="00F752EE">
        <w:rPr>
          <w:sz w:val="22"/>
          <w:szCs w:val="22"/>
        </w:rPr>
        <w:t xml:space="preserve"> the potential for overflow from the detention basin</w:t>
      </w:r>
      <w:r>
        <w:rPr>
          <w:sz w:val="22"/>
          <w:szCs w:val="22"/>
        </w:rPr>
        <w:t>.</w:t>
      </w:r>
    </w:p>
    <w:p w14:paraId="49EF2886" w14:textId="77777777" w:rsidR="00334C56" w:rsidRDefault="00334C56" w:rsidP="00334C56">
      <w:pPr>
        <w:pStyle w:val="Default"/>
        <w:ind w:left="1170" w:hanging="180"/>
        <w:rPr>
          <w:sz w:val="22"/>
          <w:szCs w:val="22"/>
        </w:rPr>
      </w:pPr>
    </w:p>
    <w:p w14:paraId="28CA11B7" w14:textId="79C8922D" w:rsidR="008C13AC" w:rsidRDefault="00334C56" w:rsidP="00444700">
      <w:pPr>
        <w:pStyle w:val="Default"/>
        <w:ind w:left="720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 xml:space="preserve">Commissioner </w:t>
      </w:r>
      <w:r w:rsidR="00B30D5D">
        <w:rPr>
          <w:sz w:val="22"/>
          <w:szCs w:val="22"/>
        </w:rPr>
        <w:t>Kayserman</w:t>
      </w:r>
      <w:r>
        <w:rPr>
          <w:sz w:val="22"/>
          <w:szCs w:val="22"/>
        </w:rPr>
        <w:t xml:space="preserve"> made a motion to continue the application until March </w:t>
      </w:r>
      <w:r w:rsidR="00B30D5D">
        <w:rPr>
          <w:sz w:val="22"/>
          <w:szCs w:val="22"/>
        </w:rPr>
        <w:t>19</w:t>
      </w:r>
      <w:r w:rsidR="00F752EE">
        <w:rPr>
          <w:sz w:val="22"/>
          <w:szCs w:val="22"/>
        </w:rPr>
        <w:t>, 2020</w:t>
      </w:r>
      <w:r w:rsidR="00B30D5D">
        <w:rPr>
          <w:sz w:val="22"/>
          <w:szCs w:val="22"/>
        </w:rPr>
        <w:t xml:space="preserve">. Commissioner Radner seconded. </w:t>
      </w:r>
      <w:r w:rsidR="00842EA4">
        <w:rPr>
          <w:sz w:val="22"/>
          <w:szCs w:val="22"/>
        </w:rPr>
        <w:t>All were in favor.</w:t>
      </w:r>
    </w:p>
    <w:p w14:paraId="383FC1A8" w14:textId="77777777" w:rsidR="00444700" w:rsidRDefault="00444700" w:rsidP="00444700">
      <w:pPr>
        <w:pStyle w:val="Default"/>
        <w:rPr>
          <w:b/>
          <w:bCs/>
          <w:sz w:val="22"/>
          <w:szCs w:val="22"/>
          <w:u w:val="single"/>
        </w:rPr>
      </w:pPr>
    </w:p>
    <w:p w14:paraId="2A96B758" w14:textId="1F05B00E" w:rsidR="00BF2C7B" w:rsidRPr="00BF2C7B" w:rsidRDefault="00BF2C7B" w:rsidP="00444700">
      <w:pPr>
        <w:pStyle w:val="Default"/>
        <w:rPr>
          <w:b/>
          <w:bCs/>
          <w:sz w:val="22"/>
          <w:szCs w:val="22"/>
          <w:u w:val="single"/>
        </w:rPr>
      </w:pPr>
      <w:r w:rsidRPr="00BF2C7B">
        <w:rPr>
          <w:b/>
          <w:bCs/>
          <w:sz w:val="22"/>
          <w:szCs w:val="22"/>
          <w:u w:val="single"/>
        </w:rPr>
        <w:t>New Applications</w:t>
      </w:r>
    </w:p>
    <w:p w14:paraId="5CED42B2" w14:textId="77777777" w:rsidR="00BF2C7B" w:rsidRDefault="00BF2C7B" w:rsidP="00AB4D70">
      <w:pPr>
        <w:pStyle w:val="Default"/>
        <w:ind w:left="1170" w:hanging="180"/>
        <w:rPr>
          <w:sz w:val="22"/>
          <w:szCs w:val="22"/>
        </w:rPr>
      </w:pPr>
    </w:p>
    <w:p w14:paraId="0E3B7CA0" w14:textId="343305BA" w:rsidR="00BF2C7B" w:rsidRDefault="00B30D5D" w:rsidP="00B30D5D">
      <w:pPr>
        <w:pStyle w:val="Default"/>
        <w:numPr>
          <w:ilvl w:val="0"/>
          <w:numId w:val="12"/>
        </w:numPr>
        <w:rPr>
          <w:sz w:val="22"/>
          <w:szCs w:val="22"/>
        </w:rPr>
      </w:pPr>
      <w:r w:rsidRPr="00B30D5D">
        <w:rPr>
          <w:b/>
          <w:bCs/>
          <w:sz w:val="20"/>
          <w:u w:val="single"/>
        </w:rPr>
        <w:t>118 Bridge Street- David Flynn, 118 Bridge Street LLP, Applicant</w:t>
      </w:r>
      <w:r w:rsidRPr="00B30D5D">
        <w:rPr>
          <w:sz w:val="20"/>
        </w:rPr>
        <w:t xml:space="preserve"> </w:t>
      </w:r>
      <w:r w:rsidRPr="00B30D5D">
        <w:rPr>
          <w:sz w:val="22"/>
          <w:szCs w:val="22"/>
        </w:rPr>
        <w:t>-</w:t>
      </w:r>
      <w:r w:rsidR="00BF2C7B" w:rsidRPr="00B30D5D">
        <w:rPr>
          <w:b/>
          <w:bCs/>
          <w:sz w:val="22"/>
          <w:szCs w:val="22"/>
          <w:u w:val="single"/>
        </w:rPr>
        <w:t xml:space="preserve">– </w:t>
      </w:r>
      <w:r w:rsidRPr="00B30D5D">
        <w:rPr>
          <w:sz w:val="22"/>
          <w:szCs w:val="22"/>
        </w:rPr>
        <w:t>Request for Determination of Applicability for additional paving in BZ to BVW (RDA 2020-02)</w:t>
      </w:r>
      <w:r w:rsidR="002E3A05">
        <w:rPr>
          <w:sz w:val="22"/>
          <w:szCs w:val="22"/>
        </w:rPr>
        <w:t>.  David Flynn was present.</w:t>
      </w:r>
    </w:p>
    <w:p w14:paraId="246F6D90" w14:textId="77777777" w:rsidR="002E3A05" w:rsidRPr="00B30D5D" w:rsidRDefault="002E3A05" w:rsidP="002E3A05">
      <w:pPr>
        <w:pStyle w:val="Default"/>
        <w:ind w:left="720"/>
        <w:rPr>
          <w:sz w:val="22"/>
          <w:szCs w:val="22"/>
        </w:rPr>
      </w:pPr>
    </w:p>
    <w:p w14:paraId="5A3E3375" w14:textId="447566EA" w:rsidR="004E261C" w:rsidRDefault="00BF2C7B" w:rsidP="00444700">
      <w:pPr>
        <w:pStyle w:val="Default"/>
        <w:ind w:left="810"/>
        <w:rPr>
          <w:sz w:val="22"/>
          <w:szCs w:val="22"/>
        </w:rPr>
      </w:pPr>
      <w:r>
        <w:rPr>
          <w:sz w:val="22"/>
          <w:szCs w:val="22"/>
        </w:rPr>
        <w:t xml:space="preserve">The Applicant </w:t>
      </w:r>
      <w:r w:rsidR="00B30D5D">
        <w:rPr>
          <w:sz w:val="22"/>
          <w:szCs w:val="22"/>
        </w:rPr>
        <w:t>proposed to remove an existing garage and pave two additional parking spaces in Buffer Zone</w:t>
      </w:r>
      <w:r w:rsidR="002E3A05">
        <w:rPr>
          <w:sz w:val="22"/>
          <w:szCs w:val="22"/>
        </w:rPr>
        <w:t xml:space="preserve"> to BVW</w:t>
      </w:r>
      <w:r w:rsidR="00B30D5D">
        <w:rPr>
          <w:sz w:val="22"/>
          <w:szCs w:val="22"/>
        </w:rPr>
        <w:t>. The total additional square footage proposed to be paved is less than 500 square feet</w:t>
      </w:r>
      <w:r w:rsidR="002E3A05">
        <w:rPr>
          <w:sz w:val="22"/>
          <w:szCs w:val="22"/>
        </w:rPr>
        <w:t xml:space="preserve">, thus obviating the need for a </w:t>
      </w:r>
      <w:r w:rsidR="00B30D5D">
        <w:rPr>
          <w:sz w:val="22"/>
          <w:szCs w:val="22"/>
        </w:rPr>
        <w:t xml:space="preserve">Stormwater Management Permit. </w:t>
      </w:r>
      <w:r w:rsidR="00CF21D6">
        <w:rPr>
          <w:sz w:val="22"/>
          <w:szCs w:val="22"/>
        </w:rPr>
        <w:t xml:space="preserve"> </w:t>
      </w:r>
      <w:r w:rsidR="00BC2A2D">
        <w:rPr>
          <w:sz w:val="22"/>
          <w:szCs w:val="22"/>
        </w:rPr>
        <w:t>Commissioner</w:t>
      </w:r>
      <w:r w:rsidR="00CF21D6">
        <w:rPr>
          <w:sz w:val="22"/>
          <w:szCs w:val="22"/>
        </w:rPr>
        <w:t xml:space="preserve"> Kayserman stated that the maintenance of parking lot should be followed regularly.</w:t>
      </w:r>
    </w:p>
    <w:p w14:paraId="4E712102" w14:textId="77777777" w:rsidR="004E261C" w:rsidRDefault="004E261C" w:rsidP="00444700">
      <w:pPr>
        <w:pStyle w:val="Default"/>
        <w:ind w:left="810"/>
        <w:rPr>
          <w:sz w:val="22"/>
          <w:szCs w:val="22"/>
        </w:rPr>
      </w:pPr>
    </w:p>
    <w:p w14:paraId="0359C6A6" w14:textId="20B78EB5" w:rsidR="00BF2C7B" w:rsidRDefault="008C13AC" w:rsidP="00444700">
      <w:pPr>
        <w:pStyle w:val="Default"/>
        <w:ind w:left="810"/>
        <w:rPr>
          <w:sz w:val="22"/>
          <w:szCs w:val="22"/>
        </w:rPr>
      </w:pPr>
      <w:r>
        <w:rPr>
          <w:sz w:val="22"/>
          <w:szCs w:val="22"/>
        </w:rPr>
        <w:t xml:space="preserve">Commissioner </w:t>
      </w:r>
      <w:r w:rsidR="00CF21D6">
        <w:rPr>
          <w:sz w:val="22"/>
          <w:szCs w:val="22"/>
        </w:rPr>
        <w:t>Kayserman</w:t>
      </w:r>
      <w:r>
        <w:rPr>
          <w:sz w:val="22"/>
          <w:szCs w:val="22"/>
        </w:rPr>
        <w:t xml:space="preserve"> </w:t>
      </w:r>
      <w:r w:rsidR="002E3A05">
        <w:rPr>
          <w:sz w:val="22"/>
          <w:szCs w:val="22"/>
        </w:rPr>
        <w:t xml:space="preserve">moved to close the hearing </w:t>
      </w:r>
      <w:r>
        <w:rPr>
          <w:sz w:val="22"/>
          <w:szCs w:val="22"/>
        </w:rPr>
        <w:t xml:space="preserve">motion </w:t>
      </w:r>
      <w:r w:rsidR="002E3A05">
        <w:rPr>
          <w:sz w:val="22"/>
          <w:szCs w:val="22"/>
        </w:rPr>
        <w:t xml:space="preserve">and </w:t>
      </w:r>
      <w:r>
        <w:rPr>
          <w:sz w:val="22"/>
          <w:szCs w:val="22"/>
        </w:rPr>
        <w:t xml:space="preserve">issue the Negative Determination of Applicability. Commissioner </w:t>
      </w:r>
      <w:r w:rsidR="00CF21D6">
        <w:rPr>
          <w:sz w:val="22"/>
          <w:szCs w:val="22"/>
        </w:rPr>
        <w:t>Radner</w:t>
      </w:r>
      <w:r>
        <w:rPr>
          <w:sz w:val="22"/>
          <w:szCs w:val="22"/>
        </w:rPr>
        <w:t xml:space="preserve"> seconded. All were in favor.</w:t>
      </w:r>
    </w:p>
    <w:p w14:paraId="6EC93558" w14:textId="11228337" w:rsidR="008C13AC" w:rsidRPr="00CF21D6" w:rsidRDefault="008C13AC" w:rsidP="00CF21D6">
      <w:pPr>
        <w:tabs>
          <w:tab w:val="left" w:pos="360"/>
          <w:tab w:val="left" w:pos="810"/>
          <w:tab w:val="left" w:pos="900"/>
        </w:tabs>
        <w:spacing w:after="4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color w:val="auto"/>
        </w:rPr>
        <w:t xml:space="preserve"> </w:t>
      </w:r>
    </w:p>
    <w:p w14:paraId="229C9929" w14:textId="715B560C" w:rsidR="000C398A" w:rsidRPr="000C398A" w:rsidRDefault="00CF21D6" w:rsidP="00CF21D6">
      <w:pPr>
        <w:pStyle w:val="ListParagraph"/>
        <w:numPr>
          <w:ilvl w:val="0"/>
          <w:numId w:val="12"/>
        </w:numPr>
        <w:tabs>
          <w:tab w:val="left" w:pos="360"/>
          <w:tab w:val="left" w:pos="810"/>
          <w:tab w:val="left" w:pos="900"/>
        </w:tabs>
        <w:spacing w:after="40"/>
        <w:rPr>
          <w:rFonts w:ascii="Times New Roman" w:hAnsi="Times New Roman"/>
          <w:color w:val="auto"/>
        </w:rPr>
      </w:pPr>
      <w:r w:rsidRPr="00CF21D6">
        <w:rPr>
          <w:rFonts w:ascii="Times New Roman" w:hAnsi="Times New Roman"/>
          <w:b/>
          <w:bCs/>
          <w:color w:val="000000" w:themeColor="text1"/>
          <w:u w:val="single"/>
        </w:rPr>
        <w:t>960 Washington Street, LAM</w:t>
      </w:r>
      <w:r w:rsidR="000C398A">
        <w:rPr>
          <w:rFonts w:ascii="Times New Roman" w:hAnsi="Times New Roman"/>
          <w:b/>
          <w:bCs/>
          <w:color w:val="000000" w:themeColor="text1"/>
          <w:u w:val="single"/>
        </w:rPr>
        <w:t>P</w:t>
      </w:r>
      <w:r w:rsidRPr="00CF21D6">
        <w:rPr>
          <w:rFonts w:ascii="Times New Roman" w:hAnsi="Times New Roman"/>
          <w:b/>
          <w:bCs/>
          <w:color w:val="000000" w:themeColor="text1"/>
          <w:u w:val="single"/>
        </w:rPr>
        <w:t xml:space="preserve"> Realty Corp., c/o Giorgio Petruzziello, Applicant</w:t>
      </w:r>
      <w:r w:rsidRPr="00CF21D6">
        <w:rPr>
          <w:rFonts w:ascii="Times New Roman" w:hAnsi="Times New Roman"/>
          <w:u w:val="single"/>
        </w:rPr>
        <w:t>-</w:t>
      </w:r>
      <w:r w:rsidR="00334C56" w:rsidRPr="00CF21D6">
        <w:rPr>
          <w:rFonts w:ascii="Times New Roman" w:hAnsi="Times New Roman"/>
          <w:color w:val="auto"/>
        </w:rPr>
        <w:t>–</w:t>
      </w:r>
      <w:r w:rsidR="00334C56" w:rsidRPr="00334C56">
        <w:rPr>
          <w:rFonts w:ascii="Times New Roman" w:hAnsi="Times New Roman"/>
          <w:color w:val="auto"/>
        </w:rPr>
        <w:t xml:space="preserve"> </w:t>
      </w:r>
      <w:r w:rsidRPr="00CF21D6">
        <w:rPr>
          <w:rFonts w:ascii="Times New Roman" w:hAnsi="Times New Roman"/>
          <w:color w:val="000000" w:themeColor="text1"/>
        </w:rPr>
        <w:t>Commercial redevelopment (MSMP 2020-01).  Jim Bernardino</w:t>
      </w:r>
      <w:r w:rsidR="000C398A">
        <w:rPr>
          <w:rFonts w:ascii="Times New Roman" w:hAnsi="Times New Roman"/>
          <w:color w:val="000000" w:themeColor="text1"/>
        </w:rPr>
        <w:t>, Bohler Engineering and Giorgio Petruzziello were present.</w:t>
      </w:r>
    </w:p>
    <w:p w14:paraId="2F345871" w14:textId="77777777" w:rsidR="000C398A" w:rsidRPr="000C398A" w:rsidRDefault="000C398A" w:rsidP="000C398A">
      <w:pPr>
        <w:pStyle w:val="ListParagraph"/>
        <w:tabs>
          <w:tab w:val="left" w:pos="360"/>
          <w:tab w:val="left" w:pos="810"/>
          <w:tab w:val="left" w:pos="900"/>
        </w:tabs>
        <w:spacing w:after="40"/>
        <w:rPr>
          <w:rFonts w:ascii="Times New Roman" w:hAnsi="Times New Roman"/>
          <w:color w:val="auto"/>
        </w:rPr>
      </w:pPr>
    </w:p>
    <w:p w14:paraId="4109A107" w14:textId="7E28AD97" w:rsidR="0063668C" w:rsidRPr="00893C66" w:rsidRDefault="000C398A" w:rsidP="000C398A">
      <w:pPr>
        <w:pStyle w:val="ListParagraph"/>
        <w:tabs>
          <w:tab w:val="left" w:pos="360"/>
          <w:tab w:val="left" w:pos="810"/>
          <w:tab w:val="left" w:pos="900"/>
        </w:tabs>
        <w:spacing w:after="40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000000" w:themeColor="text1"/>
        </w:rPr>
        <w:t xml:space="preserve">Mr. Bernardino </w:t>
      </w:r>
      <w:r w:rsidR="00CF21D6">
        <w:rPr>
          <w:rFonts w:ascii="Times New Roman" w:hAnsi="Times New Roman"/>
          <w:color w:val="000000" w:themeColor="text1"/>
        </w:rPr>
        <w:t xml:space="preserve">stated </w:t>
      </w:r>
      <w:r>
        <w:rPr>
          <w:rFonts w:ascii="Times New Roman" w:hAnsi="Times New Roman"/>
          <w:color w:val="000000" w:themeColor="text1"/>
        </w:rPr>
        <w:t xml:space="preserve">currently there are no stormwater controls onsite. He is proposing permeable </w:t>
      </w:r>
      <w:r w:rsidR="00CF21D6">
        <w:rPr>
          <w:rFonts w:ascii="Times New Roman" w:hAnsi="Times New Roman"/>
          <w:color w:val="000000" w:themeColor="text1"/>
        </w:rPr>
        <w:t>playground area</w:t>
      </w:r>
      <w:r>
        <w:rPr>
          <w:rFonts w:ascii="Times New Roman" w:hAnsi="Times New Roman"/>
          <w:color w:val="000000" w:themeColor="text1"/>
        </w:rPr>
        <w:t>s, with underdrains, which would drain to a subsurface infiltration system</w:t>
      </w:r>
      <w:r w:rsidR="00CF21D6">
        <w:rPr>
          <w:rFonts w:ascii="Times New Roman" w:hAnsi="Times New Roman"/>
          <w:color w:val="000000" w:themeColor="text1"/>
        </w:rPr>
        <w:t>.</w:t>
      </w:r>
      <w:r>
        <w:rPr>
          <w:rFonts w:ascii="Times New Roman" w:hAnsi="Times New Roman"/>
          <w:color w:val="000000" w:themeColor="text1"/>
        </w:rPr>
        <w:t xml:space="preserve"> </w:t>
      </w:r>
      <w:r w:rsidR="00CF21D6">
        <w:rPr>
          <w:rFonts w:ascii="Times New Roman" w:hAnsi="Times New Roman"/>
          <w:color w:val="000000" w:themeColor="text1"/>
        </w:rPr>
        <w:t xml:space="preserve"> He stated that the infiltration </w:t>
      </w:r>
      <w:r>
        <w:rPr>
          <w:rFonts w:ascii="Times New Roman" w:hAnsi="Times New Roman"/>
          <w:color w:val="000000" w:themeColor="text1"/>
        </w:rPr>
        <w:t xml:space="preserve">system would hold more </w:t>
      </w:r>
      <w:r w:rsidR="00CF21D6">
        <w:rPr>
          <w:rFonts w:ascii="Times New Roman" w:hAnsi="Times New Roman"/>
          <w:color w:val="000000" w:themeColor="text1"/>
        </w:rPr>
        <w:t xml:space="preserve">than 2 inches and </w:t>
      </w:r>
      <w:r>
        <w:rPr>
          <w:rFonts w:ascii="Times New Roman" w:hAnsi="Times New Roman"/>
          <w:color w:val="000000" w:themeColor="text1"/>
        </w:rPr>
        <w:t xml:space="preserve">would infiltrate </w:t>
      </w:r>
      <w:r w:rsidR="00CF21D6">
        <w:rPr>
          <w:rFonts w:ascii="Times New Roman" w:hAnsi="Times New Roman"/>
          <w:color w:val="000000" w:themeColor="text1"/>
        </w:rPr>
        <w:t xml:space="preserve">greater than a 25-year storm.  </w:t>
      </w:r>
      <w:r w:rsidR="00893C66">
        <w:rPr>
          <w:rFonts w:ascii="Times New Roman" w:hAnsi="Times New Roman"/>
          <w:color w:val="000000" w:themeColor="text1"/>
        </w:rPr>
        <w:t>A landscape plan was provided.  The work would be accessed by an indirect access permit by MassDOT.</w:t>
      </w:r>
      <w:r w:rsidR="00893C66">
        <w:rPr>
          <w:rFonts w:ascii="Times New Roman" w:hAnsi="Times New Roman"/>
          <w:color w:val="auto"/>
        </w:rPr>
        <w:t xml:space="preserve">  Lastly the applicant stated that </w:t>
      </w:r>
      <w:r>
        <w:rPr>
          <w:rFonts w:ascii="Times New Roman" w:hAnsi="Times New Roman"/>
          <w:color w:val="auto"/>
        </w:rPr>
        <w:t>the existing cesspool</w:t>
      </w:r>
      <w:r w:rsidR="00893C66">
        <w:rPr>
          <w:rFonts w:ascii="Times New Roman" w:hAnsi="Times New Roman"/>
          <w:color w:val="auto"/>
        </w:rPr>
        <w:t xml:space="preserve"> would be abandoned and </w:t>
      </w:r>
      <w:r>
        <w:rPr>
          <w:rFonts w:ascii="Times New Roman" w:hAnsi="Times New Roman"/>
          <w:color w:val="auto"/>
        </w:rPr>
        <w:t>a</w:t>
      </w:r>
      <w:r w:rsidR="00893C66">
        <w:rPr>
          <w:rFonts w:ascii="Times New Roman" w:hAnsi="Times New Roman"/>
          <w:color w:val="auto"/>
        </w:rPr>
        <w:t xml:space="preserve"> new force main would be installed.  The Commission asked for the following: </w:t>
      </w:r>
      <w:r w:rsidR="00842EA4">
        <w:rPr>
          <w:rFonts w:ascii="Times New Roman" w:hAnsi="Times New Roman"/>
          <w:color w:val="auto"/>
        </w:rPr>
        <w:t>trees and</w:t>
      </w:r>
      <w:r w:rsidR="00893C66">
        <w:rPr>
          <w:rFonts w:ascii="Times New Roman" w:hAnsi="Times New Roman"/>
          <w:color w:val="auto"/>
        </w:rPr>
        <w:t xml:space="preserve"> shrubs be replaced in the back, </w:t>
      </w:r>
      <w:r>
        <w:rPr>
          <w:rFonts w:ascii="Times New Roman" w:hAnsi="Times New Roman"/>
          <w:color w:val="auto"/>
        </w:rPr>
        <w:t xml:space="preserve">increased erosion and sediment controls </w:t>
      </w:r>
      <w:r w:rsidR="00893C66">
        <w:rPr>
          <w:rFonts w:ascii="Times New Roman" w:hAnsi="Times New Roman"/>
          <w:color w:val="auto"/>
        </w:rPr>
        <w:t xml:space="preserve">at edge of the slope, </w:t>
      </w:r>
      <w:r>
        <w:rPr>
          <w:rFonts w:ascii="Times New Roman" w:hAnsi="Times New Roman"/>
          <w:color w:val="auto"/>
        </w:rPr>
        <w:t xml:space="preserve">improved </w:t>
      </w:r>
      <w:r w:rsidR="00893C66">
        <w:rPr>
          <w:rFonts w:ascii="Times New Roman" w:hAnsi="Times New Roman"/>
          <w:color w:val="auto"/>
        </w:rPr>
        <w:t>treatment in the front</w:t>
      </w:r>
      <w:r>
        <w:rPr>
          <w:rFonts w:ascii="Times New Roman" w:hAnsi="Times New Roman"/>
          <w:color w:val="auto"/>
        </w:rPr>
        <w:t xml:space="preserve"> of the site</w:t>
      </w:r>
      <w:r w:rsidR="00893C66">
        <w:rPr>
          <w:rFonts w:ascii="Times New Roman" w:hAnsi="Times New Roman"/>
          <w:color w:val="auto"/>
        </w:rPr>
        <w:t xml:space="preserve">, specified snow storage in the O&amp;M plan, and a landscaping restoration plan.  </w:t>
      </w:r>
      <w:r>
        <w:rPr>
          <w:rFonts w:ascii="Times New Roman" w:hAnsi="Times New Roman"/>
          <w:color w:val="auto"/>
        </w:rPr>
        <w:t xml:space="preserve">They requested a copy of the </w:t>
      </w:r>
      <w:r w:rsidR="00893C66">
        <w:rPr>
          <w:rFonts w:ascii="Times New Roman" w:hAnsi="Times New Roman"/>
          <w:color w:val="auto"/>
        </w:rPr>
        <w:t>M</w:t>
      </w:r>
      <w:r>
        <w:rPr>
          <w:rFonts w:ascii="Times New Roman" w:hAnsi="Times New Roman"/>
          <w:color w:val="auto"/>
        </w:rPr>
        <w:t>ass</w:t>
      </w:r>
      <w:r w:rsidR="00893C66">
        <w:rPr>
          <w:rFonts w:ascii="Times New Roman" w:hAnsi="Times New Roman"/>
          <w:color w:val="auto"/>
        </w:rPr>
        <w:t>DOT</w:t>
      </w:r>
      <w:r>
        <w:rPr>
          <w:rFonts w:ascii="Times New Roman" w:hAnsi="Times New Roman"/>
          <w:color w:val="auto"/>
        </w:rPr>
        <w:t xml:space="preserve"> </w:t>
      </w:r>
      <w:r w:rsidR="00893C66">
        <w:rPr>
          <w:rFonts w:ascii="Times New Roman" w:hAnsi="Times New Roman"/>
          <w:color w:val="auto"/>
        </w:rPr>
        <w:t>review.</w:t>
      </w:r>
    </w:p>
    <w:p w14:paraId="7850C580" w14:textId="24B2FF52" w:rsidR="00893C66" w:rsidRPr="00893C66" w:rsidRDefault="00893C66" w:rsidP="00893C66">
      <w:pPr>
        <w:tabs>
          <w:tab w:val="left" w:pos="360"/>
          <w:tab w:val="left" w:pos="810"/>
          <w:tab w:val="left" w:pos="900"/>
        </w:tabs>
        <w:spacing w:after="40"/>
        <w:ind w:left="360"/>
        <w:rPr>
          <w:rFonts w:ascii="Times New Roman" w:hAnsi="Times New Roman"/>
          <w:color w:val="auto"/>
        </w:rPr>
      </w:pPr>
    </w:p>
    <w:p w14:paraId="20712FEC" w14:textId="677B9B32" w:rsidR="00334C56" w:rsidRPr="0063668C" w:rsidRDefault="00F01C78" w:rsidP="0063668C">
      <w:pPr>
        <w:autoSpaceDE w:val="0"/>
        <w:autoSpaceDN w:val="0"/>
        <w:adjustRightInd w:val="0"/>
        <w:ind w:left="720"/>
        <w:rPr>
          <w:rFonts w:ascii="Times New Roman" w:hAnsi="Times New Roman"/>
          <w:color w:val="auto"/>
        </w:rPr>
      </w:pPr>
      <w:r w:rsidRPr="0063668C">
        <w:rPr>
          <w:rFonts w:ascii="Times New Roman" w:hAnsi="Times New Roman"/>
          <w:color w:val="auto"/>
        </w:rPr>
        <w:lastRenderedPageBreak/>
        <w:t xml:space="preserve">Commissioner </w:t>
      </w:r>
      <w:r w:rsidR="00893C66">
        <w:rPr>
          <w:rFonts w:ascii="Times New Roman" w:hAnsi="Times New Roman"/>
          <w:color w:val="auto"/>
        </w:rPr>
        <w:t>Kayserman</w:t>
      </w:r>
      <w:r w:rsidRPr="0063668C">
        <w:rPr>
          <w:rFonts w:ascii="Times New Roman" w:hAnsi="Times New Roman"/>
          <w:color w:val="auto"/>
        </w:rPr>
        <w:t xml:space="preserve"> made a motion to </w:t>
      </w:r>
      <w:r w:rsidR="00893C66">
        <w:rPr>
          <w:rFonts w:ascii="Times New Roman" w:hAnsi="Times New Roman"/>
          <w:color w:val="auto"/>
        </w:rPr>
        <w:t>continue until April</w:t>
      </w:r>
      <w:r w:rsidR="000C398A">
        <w:rPr>
          <w:rFonts w:ascii="Times New Roman" w:hAnsi="Times New Roman"/>
          <w:color w:val="auto"/>
        </w:rPr>
        <w:t xml:space="preserve"> 2, 2020</w:t>
      </w:r>
      <w:r w:rsidR="00BC2A2D" w:rsidRPr="0063668C">
        <w:rPr>
          <w:rFonts w:ascii="Times New Roman" w:hAnsi="Times New Roman"/>
          <w:color w:val="auto"/>
        </w:rPr>
        <w:t>.</w:t>
      </w:r>
      <w:r w:rsidRPr="0063668C">
        <w:rPr>
          <w:rFonts w:ascii="Times New Roman" w:hAnsi="Times New Roman"/>
          <w:color w:val="auto"/>
        </w:rPr>
        <w:t xml:space="preserve">  Commissioner Holmes seconded. All were in favor. </w:t>
      </w:r>
    </w:p>
    <w:p w14:paraId="3A510F7E" w14:textId="15A7C4C4" w:rsidR="00AC63E2" w:rsidRDefault="00893C66" w:rsidP="001734E4">
      <w:pPr>
        <w:pStyle w:val="ListParagraph"/>
        <w:numPr>
          <w:ilvl w:val="0"/>
          <w:numId w:val="12"/>
        </w:numPr>
        <w:tabs>
          <w:tab w:val="left" w:pos="360"/>
          <w:tab w:val="left" w:pos="810"/>
        </w:tabs>
        <w:spacing w:after="40" w:line="240" w:lineRule="auto"/>
        <w:rPr>
          <w:rFonts w:ascii="Times New Roman" w:hAnsi="Times New Roman"/>
          <w:color w:val="000000" w:themeColor="text1"/>
        </w:rPr>
      </w:pPr>
      <w:r w:rsidRPr="00893C66">
        <w:rPr>
          <w:rFonts w:ascii="Times New Roman" w:hAnsi="Times New Roman"/>
          <w:b/>
          <w:bCs/>
          <w:color w:val="000000" w:themeColor="text1"/>
          <w:u w:val="single"/>
        </w:rPr>
        <w:t>114 Bussey Street, Supreme Development, Giorgio Petruzziello, Applicant, GCG Associates, Representative</w:t>
      </w:r>
      <w:r w:rsidRPr="00893C66">
        <w:rPr>
          <w:rFonts w:ascii="Times New Roman" w:hAnsi="Times New Roman"/>
          <w:color w:val="000000" w:themeColor="text1"/>
        </w:rPr>
        <w:t xml:space="preserve"> – </w:t>
      </w:r>
      <w:r w:rsidR="00AC63E2" w:rsidRPr="00893C66">
        <w:rPr>
          <w:rFonts w:ascii="Times New Roman" w:hAnsi="Times New Roman"/>
          <w:color w:val="000000" w:themeColor="text1"/>
        </w:rPr>
        <w:t xml:space="preserve">Demolition of existing </w:t>
      </w:r>
      <w:r w:rsidR="00AC63E2">
        <w:rPr>
          <w:rFonts w:ascii="Times New Roman" w:hAnsi="Times New Roman"/>
          <w:color w:val="000000" w:themeColor="text1"/>
        </w:rPr>
        <w:t xml:space="preserve">multi-family </w:t>
      </w:r>
      <w:r w:rsidR="00AC63E2" w:rsidRPr="00893C66">
        <w:rPr>
          <w:rFonts w:ascii="Times New Roman" w:hAnsi="Times New Roman"/>
          <w:color w:val="000000" w:themeColor="text1"/>
        </w:rPr>
        <w:t xml:space="preserve">structure and construction of 4 new duplexes (MSMP 2020-02). </w:t>
      </w:r>
      <w:r w:rsidR="00AC63E2">
        <w:rPr>
          <w:rFonts w:ascii="Times New Roman" w:hAnsi="Times New Roman"/>
          <w:color w:val="000000" w:themeColor="text1"/>
        </w:rPr>
        <w:t xml:space="preserve"> Michael Carter and Giorgio Petruzziello were present.</w:t>
      </w:r>
    </w:p>
    <w:p w14:paraId="1591F83B" w14:textId="77777777" w:rsidR="00AC63E2" w:rsidRDefault="00AC63E2" w:rsidP="00AC63E2">
      <w:pPr>
        <w:pStyle w:val="ListParagraph"/>
        <w:tabs>
          <w:tab w:val="left" w:pos="360"/>
          <w:tab w:val="left" w:pos="810"/>
        </w:tabs>
        <w:spacing w:after="40" w:line="240" w:lineRule="auto"/>
        <w:rPr>
          <w:rFonts w:ascii="Times New Roman" w:hAnsi="Times New Roman"/>
          <w:color w:val="000000" w:themeColor="text1"/>
        </w:rPr>
      </w:pPr>
    </w:p>
    <w:p w14:paraId="171B9F32" w14:textId="1E4A1409" w:rsidR="00AC63E2" w:rsidRDefault="00AC63E2" w:rsidP="00AC63E2">
      <w:pPr>
        <w:pStyle w:val="ListParagraph"/>
        <w:tabs>
          <w:tab w:val="left" w:pos="360"/>
          <w:tab w:val="left" w:pos="810"/>
        </w:tabs>
        <w:spacing w:after="4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Mr. Carter</w:t>
      </w:r>
      <w:r w:rsidR="00893C66">
        <w:rPr>
          <w:rFonts w:ascii="Times New Roman" w:hAnsi="Times New Roman"/>
          <w:color w:val="000000" w:themeColor="text1"/>
        </w:rPr>
        <w:t xml:space="preserve"> su</w:t>
      </w:r>
      <w:r w:rsidR="001734E4">
        <w:rPr>
          <w:rFonts w:ascii="Times New Roman" w:hAnsi="Times New Roman"/>
          <w:color w:val="000000" w:themeColor="text1"/>
        </w:rPr>
        <w:t xml:space="preserve">mmarized the landscape plan which included 16 trees to be removed, and the remaining trees to have a tree protection detail in place, with 36 trees planted.  </w:t>
      </w:r>
      <w:r>
        <w:rPr>
          <w:rFonts w:ascii="Times New Roman" w:hAnsi="Times New Roman"/>
          <w:color w:val="000000" w:themeColor="text1"/>
        </w:rPr>
        <w:t>He stated that th</w:t>
      </w:r>
      <w:r w:rsidR="001734E4">
        <w:rPr>
          <w:rFonts w:ascii="Times New Roman" w:hAnsi="Times New Roman"/>
          <w:color w:val="000000" w:themeColor="text1"/>
        </w:rPr>
        <w:t xml:space="preserve">e </w:t>
      </w:r>
      <w:r>
        <w:rPr>
          <w:rFonts w:ascii="Times New Roman" w:hAnsi="Times New Roman"/>
          <w:color w:val="000000" w:themeColor="text1"/>
        </w:rPr>
        <w:t>s</w:t>
      </w:r>
      <w:r w:rsidR="001734E4">
        <w:rPr>
          <w:rFonts w:ascii="Times New Roman" w:hAnsi="Times New Roman"/>
          <w:color w:val="000000" w:themeColor="text1"/>
        </w:rPr>
        <w:t xml:space="preserve">tormwater galleys </w:t>
      </w:r>
      <w:r>
        <w:rPr>
          <w:rFonts w:ascii="Times New Roman" w:hAnsi="Times New Roman"/>
          <w:color w:val="000000" w:themeColor="text1"/>
        </w:rPr>
        <w:t xml:space="preserve">would </w:t>
      </w:r>
      <w:r w:rsidR="001734E4">
        <w:rPr>
          <w:rFonts w:ascii="Times New Roman" w:hAnsi="Times New Roman"/>
          <w:color w:val="000000" w:themeColor="text1"/>
        </w:rPr>
        <w:t xml:space="preserve">hold </w:t>
      </w:r>
      <w:r w:rsidR="00BC2A2D">
        <w:rPr>
          <w:rFonts w:ascii="Times New Roman" w:hAnsi="Times New Roman"/>
          <w:color w:val="000000" w:themeColor="text1"/>
        </w:rPr>
        <w:t>100-year</w:t>
      </w:r>
      <w:r w:rsidR="001734E4">
        <w:rPr>
          <w:rFonts w:ascii="Times New Roman" w:hAnsi="Times New Roman"/>
          <w:color w:val="000000" w:themeColor="text1"/>
        </w:rPr>
        <w:t xml:space="preserve"> storm. Test pits </w:t>
      </w:r>
      <w:r>
        <w:rPr>
          <w:rFonts w:ascii="Times New Roman" w:hAnsi="Times New Roman"/>
          <w:color w:val="000000" w:themeColor="text1"/>
        </w:rPr>
        <w:t xml:space="preserve">have been </w:t>
      </w:r>
      <w:r w:rsidR="001734E4">
        <w:rPr>
          <w:rFonts w:ascii="Times New Roman" w:hAnsi="Times New Roman"/>
          <w:color w:val="000000" w:themeColor="text1"/>
        </w:rPr>
        <w:t xml:space="preserve">completed </w:t>
      </w:r>
      <w:r>
        <w:rPr>
          <w:rFonts w:ascii="Times New Roman" w:hAnsi="Times New Roman"/>
          <w:color w:val="000000" w:themeColor="text1"/>
        </w:rPr>
        <w:t>and the results shown on the plan</w:t>
      </w:r>
      <w:r w:rsidR="001734E4">
        <w:rPr>
          <w:rFonts w:ascii="Times New Roman" w:hAnsi="Times New Roman"/>
          <w:color w:val="000000" w:themeColor="text1"/>
        </w:rPr>
        <w:t xml:space="preserve">. </w:t>
      </w:r>
      <w:r w:rsidR="00A51551">
        <w:rPr>
          <w:rFonts w:ascii="Times New Roman" w:hAnsi="Times New Roman"/>
          <w:color w:val="000000" w:themeColor="text1"/>
        </w:rPr>
        <w:t xml:space="preserve"> A</w:t>
      </w:r>
      <w:r>
        <w:rPr>
          <w:rFonts w:ascii="Times New Roman" w:hAnsi="Times New Roman"/>
          <w:color w:val="000000" w:themeColor="text1"/>
        </w:rPr>
        <w:t xml:space="preserve"> </w:t>
      </w:r>
      <w:r w:rsidR="00A51551">
        <w:rPr>
          <w:rFonts w:ascii="Times New Roman" w:hAnsi="Times New Roman"/>
          <w:color w:val="000000" w:themeColor="text1"/>
        </w:rPr>
        <w:t>H</w:t>
      </w:r>
      <w:r>
        <w:rPr>
          <w:rFonts w:ascii="Times New Roman" w:hAnsi="Times New Roman"/>
          <w:color w:val="000000" w:themeColor="text1"/>
        </w:rPr>
        <w:t xml:space="preserve">omeowner Agreement </w:t>
      </w:r>
      <w:r w:rsidR="00A51551">
        <w:rPr>
          <w:rFonts w:ascii="Times New Roman" w:hAnsi="Times New Roman"/>
          <w:color w:val="000000" w:themeColor="text1"/>
        </w:rPr>
        <w:t>will be included</w:t>
      </w:r>
      <w:r>
        <w:rPr>
          <w:rFonts w:ascii="Times New Roman" w:hAnsi="Times New Roman"/>
          <w:color w:val="000000" w:themeColor="text1"/>
        </w:rPr>
        <w:t xml:space="preserve"> with responsibility going to the new owners when </w:t>
      </w:r>
      <w:r w:rsidR="00A51551">
        <w:rPr>
          <w:rFonts w:ascii="Times New Roman" w:hAnsi="Times New Roman"/>
          <w:color w:val="000000" w:themeColor="text1"/>
        </w:rPr>
        <w:t xml:space="preserve">100% </w:t>
      </w:r>
      <w:r>
        <w:rPr>
          <w:rFonts w:ascii="Times New Roman" w:hAnsi="Times New Roman"/>
          <w:color w:val="000000" w:themeColor="text1"/>
        </w:rPr>
        <w:t xml:space="preserve">of the units are </w:t>
      </w:r>
      <w:r w:rsidR="00A51551">
        <w:rPr>
          <w:rFonts w:ascii="Times New Roman" w:hAnsi="Times New Roman"/>
          <w:color w:val="000000" w:themeColor="text1"/>
        </w:rPr>
        <w:t>sold</w:t>
      </w:r>
      <w:r>
        <w:rPr>
          <w:rFonts w:ascii="Times New Roman" w:hAnsi="Times New Roman"/>
          <w:color w:val="000000" w:themeColor="text1"/>
        </w:rPr>
        <w:t>.</w:t>
      </w:r>
      <w:r w:rsidR="00A51551">
        <w:rPr>
          <w:rFonts w:ascii="Times New Roman" w:hAnsi="Times New Roman"/>
          <w:color w:val="000000" w:themeColor="text1"/>
        </w:rPr>
        <w:t xml:space="preserve"> Lastly the applicant confirmed that the plan had been approved by the ZBA.  </w:t>
      </w:r>
    </w:p>
    <w:p w14:paraId="1B470414" w14:textId="77777777" w:rsidR="00AC63E2" w:rsidRDefault="00AC63E2" w:rsidP="00AC63E2">
      <w:pPr>
        <w:pStyle w:val="ListParagraph"/>
        <w:tabs>
          <w:tab w:val="left" w:pos="360"/>
          <w:tab w:val="left" w:pos="810"/>
        </w:tabs>
        <w:spacing w:after="40" w:line="240" w:lineRule="auto"/>
        <w:rPr>
          <w:rFonts w:ascii="Times New Roman" w:hAnsi="Times New Roman"/>
          <w:color w:val="000000" w:themeColor="text1"/>
        </w:rPr>
      </w:pPr>
    </w:p>
    <w:p w14:paraId="1EEA949B" w14:textId="1AEF64FA" w:rsidR="00E033FD" w:rsidRDefault="00A51551" w:rsidP="00AC63E2">
      <w:pPr>
        <w:pStyle w:val="ListParagraph"/>
        <w:tabs>
          <w:tab w:val="left" w:pos="360"/>
          <w:tab w:val="left" w:pos="810"/>
        </w:tabs>
        <w:spacing w:after="4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Commissioner Kayserman moved to request funds in the amount of $2</w:t>
      </w:r>
      <w:r w:rsidR="00395BF4">
        <w:rPr>
          <w:rFonts w:ascii="Times New Roman" w:hAnsi="Times New Roman"/>
          <w:color w:val="000000" w:themeColor="text1"/>
        </w:rPr>
        <w:t>,</w:t>
      </w:r>
      <w:r>
        <w:rPr>
          <w:rFonts w:ascii="Times New Roman" w:hAnsi="Times New Roman"/>
          <w:color w:val="000000" w:themeColor="text1"/>
        </w:rPr>
        <w:t xml:space="preserve">000.00 for the peer review of the </w:t>
      </w:r>
      <w:r w:rsidR="00AC63E2">
        <w:rPr>
          <w:rFonts w:ascii="Times New Roman" w:hAnsi="Times New Roman"/>
          <w:color w:val="000000" w:themeColor="text1"/>
        </w:rPr>
        <w:t>s</w:t>
      </w:r>
      <w:r>
        <w:rPr>
          <w:rFonts w:ascii="Times New Roman" w:hAnsi="Times New Roman"/>
          <w:color w:val="000000" w:themeColor="text1"/>
        </w:rPr>
        <w:t>tormwater system</w:t>
      </w:r>
      <w:r w:rsidR="00AC63E2">
        <w:rPr>
          <w:rFonts w:ascii="Times New Roman" w:hAnsi="Times New Roman"/>
          <w:color w:val="000000" w:themeColor="text1"/>
        </w:rPr>
        <w:t xml:space="preserve"> and to continue the hearing until April 2, 2020</w:t>
      </w:r>
      <w:r>
        <w:rPr>
          <w:rFonts w:ascii="Times New Roman" w:hAnsi="Times New Roman"/>
          <w:color w:val="000000" w:themeColor="text1"/>
        </w:rPr>
        <w:t>.  Commissioner Radner seconded</w:t>
      </w:r>
      <w:r w:rsidRPr="00A51551">
        <w:rPr>
          <w:rFonts w:ascii="Times New Roman" w:hAnsi="Times New Roman"/>
          <w:i/>
          <w:iCs/>
          <w:color w:val="000000" w:themeColor="text1"/>
        </w:rPr>
        <w:t>.</w:t>
      </w:r>
      <w:r>
        <w:rPr>
          <w:rFonts w:ascii="Times New Roman" w:hAnsi="Times New Roman"/>
          <w:i/>
          <w:iCs/>
          <w:color w:val="000000" w:themeColor="text1"/>
        </w:rPr>
        <w:t xml:space="preserve"> </w:t>
      </w:r>
      <w:r w:rsidRPr="00A51551">
        <w:rPr>
          <w:rFonts w:ascii="Times New Roman" w:hAnsi="Times New Roman"/>
          <w:color w:val="000000" w:themeColor="text1"/>
        </w:rPr>
        <w:t xml:space="preserve">All were in favor. </w:t>
      </w:r>
    </w:p>
    <w:p w14:paraId="59E83270" w14:textId="3BE3DFC9" w:rsidR="00AC63E2" w:rsidRDefault="00AC63E2" w:rsidP="00AC63E2">
      <w:pPr>
        <w:pStyle w:val="ListParagraph"/>
        <w:tabs>
          <w:tab w:val="left" w:pos="360"/>
          <w:tab w:val="left" w:pos="810"/>
        </w:tabs>
        <w:spacing w:after="40" w:line="240" w:lineRule="auto"/>
        <w:rPr>
          <w:rFonts w:ascii="Times New Roman" w:hAnsi="Times New Roman"/>
          <w:color w:val="000000" w:themeColor="text1"/>
        </w:rPr>
      </w:pPr>
    </w:p>
    <w:p w14:paraId="7AE2EA90" w14:textId="77777777" w:rsidR="00A51551" w:rsidRPr="00A51551" w:rsidRDefault="00A51551" w:rsidP="00A51551">
      <w:pPr>
        <w:tabs>
          <w:tab w:val="left" w:pos="360"/>
          <w:tab w:val="left" w:pos="810"/>
        </w:tabs>
        <w:spacing w:after="40" w:line="240" w:lineRule="auto"/>
        <w:rPr>
          <w:rFonts w:ascii="Times New Roman" w:hAnsi="Times New Roman"/>
          <w:color w:val="000000" w:themeColor="text1"/>
        </w:rPr>
      </w:pPr>
    </w:p>
    <w:p w14:paraId="24BB4100" w14:textId="185EB675" w:rsidR="00985AD8" w:rsidRDefault="00A51551" w:rsidP="00A51551">
      <w:pPr>
        <w:pStyle w:val="ListParagraph"/>
        <w:numPr>
          <w:ilvl w:val="0"/>
          <w:numId w:val="12"/>
        </w:numPr>
        <w:tabs>
          <w:tab w:val="left" w:pos="360"/>
          <w:tab w:val="left" w:pos="810"/>
        </w:tabs>
        <w:spacing w:after="40" w:line="240" w:lineRule="auto"/>
        <w:rPr>
          <w:rFonts w:ascii="Times New Roman" w:hAnsi="Times New Roman"/>
          <w:color w:val="000000" w:themeColor="text1"/>
        </w:rPr>
      </w:pPr>
      <w:r w:rsidRPr="00A51551">
        <w:rPr>
          <w:rFonts w:ascii="Times New Roman" w:hAnsi="Times New Roman"/>
          <w:b/>
          <w:bCs/>
          <w:color w:val="000000" w:themeColor="text1"/>
          <w:u w:val="single"/>
        </w:rPr>
        <w:t>27 Pine Street, Guarav Parajuli, Applicant -  Bob Rego, PE, River Hawk Environmental, LLC, Representative</w:t>
      </w:r>
      <w:r w:rsidRPr="00A51551">
        <w:rPr>
          <w:rFonts w:ascii="Times New Roman" w:hAnsi="Times New Roman"/>
          <w:color w:val="000000" w:themeColor="text1"/>
        </w:rPr>
        <w:t xml:space="preserve"> – Demolition of existing </w:t>
      </w:r>
      <w:r w:rsidR="00BC2A2D" w:rsidRPr="00A51551">
        <w:rPr>
          <w:rFonts w:ascii="Times New Roman" w:hAnsi="Times New Roman"/>
          <w:color w:val="000000" w:themeColor="text1"/>
        </w:rPr>
        <w:t>single-family</w:t>
      </w:r>
      <w:r w:rsidRPr="00A51551">
        <w:rPr>
          <w:rFonts w:ascii="Times New Roman" w:hAnsi="Times New Roman"/>
          <w:color w:val="000000" w:themeColor="text1"/>
        </w:rPr>
        <w:t xml:space="preserve"> dwelling and replacement with one two-family dwelling, driveways, and associated utilities (MSMP 2020-03).  </w:t>
      </w:r>
      <w:r w:rsidR="00985AD8">
        <w:rPr>
          <w:rFonts w:ascii="Times New Roman" w:hAnsi="Times New Roman"/>
          <w:color w:val="000000" w:themeColor="text1"/>
        </w:rPr>
        <w:t xml:space="preserve">Avishek Pramanik, Riverhawk Environmental and Gaurav Parajuli were present </w:t>
      </w:r>
    </w:p>
    <w:p w14:paraId="69D201A4" w14:textId="77777777" w:rsidR="00985AD8" w:rsidRDefault="00985AD8" w:rsidP="00985AD8">
      <w:pPr>
        <w:pStyle w:val="ListParagraph"/>
        <w:tabs>
          <w:tab w:val="left" w:pos="360"/>
          <w:tab w:val="left" w:pos="810"/>
        </w:tabs>
        <w:spacing w:after="40" w:line="240" w:lineRule="auto"/>
        <w:rPr>
          <w:rFonts w:ascii="Times New Roman" w:hAnsi="Times New Roman"/>
          <w:color w:val="000000" w:themeColor="text1"/>
        </w:rPr>
      </w:pPr>
    </w:p>
    <w:p w14:paraId="0D5BB8E6" w14:textId="6D019E23" w:rsidR="00AC63E2" w:rsidRDefault="00985AD8" w:rsidP="002B1E3D">
      <w:pPr>
        <w:pStyle w:val="ListParagraph"/>
        <w:tabs>
          <w:tab w:val="left" w:pos="360"/>
          <w:tab w:val="left" w:pos="810"/>
        </w:tabs>
        <w:spacing w:after="4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After review of the proposed </w:t>
      </w:r>
      <w:r w:rsidR="00A51551">
        <w:rPr>
          <w:rFonts w:ascii="Times New Roman" w:hAnsi="Times New Roman"/>
          <w:color w:val="000000" w:themeColor="text1"/>
        </w:rPr>
        <w:t>plan</w:t>
      </w:r>
      <w:r>
        <w:rPr>
          <w:rFonts w:ascii="Times New Roman" w:hAnsi="Times New Roman"/>
          <w:color w:val="000000" w:themeColor="text1"/>
        </w:rPr>
        <w:t xml:space="preserve">, the Commission </w:t>
      </w:r>
      <w:r w:rsidR="00A51551">
        <w:rPr>
          <w:rFonts w:ascii="Times New Roman" w:hAnsi="Times New Roman"/>
          <w:color w:val="000000" w:themeColor="text1"/>
        </w:rPr>
        <w:t xml:space="preserve">asked that the applicant </w:t>
      </w:r>
      <w:r>
        <w:rPr>
          <w:rFonts w:ascii="Times New Roman" w:hAnsi="Times New Roman"/>
          <w:color w:val="000000" w:themeColor="text1"/>
        </w:rPr>
        <w:t xml:space="preserve">to </w:t>
      </w:r>
      <w:r w:rsidR="00A51551">
        <w:rPr>
          <w:rFonts w:ascii="Times New Roman" w:hAnsi="Times New Roman"/>
          <w:color w:val="000000" w:themeColor="text1"/>
        </w:rPr>
        <w:t>consider an isolator</w:t>
      </w:r>
      <w:r>
        <w:rPr>
          <w:rFonts w:ascii="Times New Roman" w:hAnsi="Times New Roman"/>
          <w:color w:val="000000" w:themeColor="text1"/>
        </w:rPr>
        <w:t xml:space="preserve"> row</w:t>
      </w:r>
      <w:r w:rsidR="00A51551">
        <w:rPr>
          <w:rFonts w:ascii="Times New Roman" w:hAnsi="Times New Roman"/>
          <w:color w:val="000000" w:themeColor="text1"/>
        </w:rPr>
        <w:t xml:space="preserve"> and to</w:t>
      </w:r>
      <w:r>
        <w:rPr>
          <w:rFonts w:ascii="Times New Roman" w:hAnsi="Times New Roman"/>
          <w:color w:val="000000" w:themeColor="text1"/>
        </w:rPr>
        <w:t xml:space="preserve"> provide a draft HOA</w:t>
      </w:r>
      <w:r w:rsidR="00316301">
        <w:rPr>
          <w:rFonts w:ascii="Times New Roman" w:hAnsi="Times New Roman"/>
          <w:color w:val="000000" w:themeColor="text1"/>
        </w:rPr>
        <w:t xml:space="preserve"> to</w:t>
      </w:r>
      <w:r w:rsidR="00A51551">
        <w:rPr>
          <w:rFonts w:ascii="Times New Roman" w:hAnsi="Times New Roman"/>
          <w:color w:val="000000" w:themeColor="text1"/>
        </w:rPr>
        <w:t xml:space="preserve"> include the care of the Stormwater systems within the HOA.  Abutter, Joe </w:t>
      </w:r>
      <w:proofErr w:type="spellStart"/>
      <w:r w:rsidR="00A51551">
        <w:rPr>
          <w:rFonts w:ascii="Times New Roman" w:hAnsi="Times New Roman"/>
          <w:color w:val="000000" w:themeColor="text1"/>
        </w:rPr>
        <w:t>Lavaley</w:t>
      </w:r>
      <w:proofErr w:type="spellEnd"/>
      <w:r w:rsidR="00A51551">
        <w:rPr>
          <w:rFonts w:ascii="Times New Roman" w:hAnsi="Times New Roman"/>
          <w:color w:val="000000" w:themeColor="text1"/>
        </w:rPr>
        <w:t>, 343 Bridge S</w:t>
      </w:r>
      <w:r w:rsidR="002B1E3D">
        <w:rPr>
          <w:rFonts w:ascii="Times New Roman" w:hAnsi="Times New Roman"/>
          <w:color w:val="000000" w:themeColor="text1"/>
        </w:rPr>
        <w:t>t</w:t>
      </w:r>
      <w:r w:rsidR="00316301">
        <w:rPr>
          <w:rFonts w:ascii="Times New Roman" w:hAnsi="Times New Roman"/>
          <w:color w:val="000000" w:themeColor="text1"/>
        </w:rPr>
        <w:t>.,</w:t>
      </w:r>
      <w:r w:rsidR="00A51551">
        <w:rPr>
          <w:rFonts w:ascii="Times New Roman" w:hAnsi="Times New Roman"/>
          <w:color w:val="000000" w:themeColor="text1"/>
        </w:rPr>
        <w:t xml:space="preserve"> stated that </w:t>
      </w:r>
      <w:r w:rsidR="002B1E3D">
        <w:rPr>
          <w:rFonts w:ascii="Times New Roman" w:hAnsi="Times New Roman"/>
          <w:color w:val="000000" w:themeColor="text1"/>
        </w:rPr>
        <w:t>storm</w:t>
      </w:r>
      <w:r w:rsidR="00A51551">
        <w:rPr>
          <w:rFonts w:ascii="Times New Roman" w:hAnsi="Times New Roman"/>
          <w:color w:val="000000" w:themeColor="text1"/>
        </w:rPr>
        <w:t xml:space="preserve">water currently drains to </w:t>
      </w:r>
      <w:r w:rsidR="002B1E3D">
        <w:rPr>
          <w:rFonts w:ascii="Times New Roman" w:hAnsi="Times New Roman"/>
          <w:color w:val="000000" w:themeColor="text1"/>
        </w:rPr>
        <w:t>Bridge St</w:t>
      </w:r>
      <w:r w:rsidR="00A51551">
        <w:rPr>
          <w:rFonts w:ascii="Times New Roman" w:hAnsi="Times New Roman"/>
          <w:color w:val="000000" w:themeColor="text1"/>
        </w:rPr>
        <w:t xml:space="preserve"> and wanted clarification of when the project would start.  The Commission requested that swales or trenches be dug near the property line. Donald </w:t>
      </w:r>
      <w:proofErr w:type="spellStart"/>
      <w:r w:rsidR="00A51551">
        <w:rPr>
          <w:rFonts w:ascii="Times New Roman" w:hAnsi="Times New Roman"/>
          <w:color w:val="000000" w:themeColor="text1"/>
        </w:rPr>
        <w:t>Canday</w:t>
      </w:r>
      <w:proofErr w:type="spellEnd"/>
      <w:r w:rsidR="002B1E3D">
        <w:rPr>
          <w:rFonts w:ascii="Times New Roman" w:hAnsi="Times New Roman"/>
          <w:color w:val="000000" w:themeColor="text1"/>
        </w:rPr>
        <w:t xml:space="preserve">, </w:t>
      </w:r>
      <w:r w:rsidR="00A51551">
        <w:rPr>
          <w:rFonts w:ascii="Times New Roman" w:hAnsi="Times New Roman"/>
          <w:color w:val="000000" w:themeColor="text1"/>
        </w:rPr>
        <w:t>20 Bow Ave</w:t>
      </w:r>
      <w:r w:rsidR="002B1E3D">
        <w:rPr>
          <w:rFonts w:ascii="Times New Roman" w:hAnsi="Times New Roman"/>
          <w:color w:val="000000" w:themeColor="text1"/>
        </w:rPr>
        <w:t>,</w:t>
      </w:r>
      <w:r w:rsidR="00A51551">
        <w:rPr>
          <w:rFonts w:ascii="Times New Roman" w:hAnsi="Times New Roman"/>
          <w:color w:val="000000" w:themeColor="text1"/>
        </w:rPr>
        <w:t xml:space="preserve"> asked for the infiltration systems to be larger to capture more water.  </w:t>
      </w:r>
    </w:p>
    <w:p w14:paraId="12D1044F" w14:textId="77777777" w:rsidR="00AC63E2" w:rsidRPr="00AC63E2" w:rsidRDefault="00AC63E2" w:rsidP="00AC63E2">
      <w:pPr>
        <w:pStyle w:val="ListParagraph"/>
        <w:rPr>
          <w:rFonts w:ascii="Times New Roman" w:hAnsi="Times New Roman"/>
          <w:color w:val="000000" w:themeColor="text1"/>
        </w:rPr>
      </w:pPr>
    </w:p>
    <w:p w14:paraId="26BD73FF" w14:textId="5E3BD5AB" w:rsidR="00A51551" w:rsidRPr="00A51551" w:rsidRDefault="00A51551" w:rsidP="002B1E3D">
      <w:pPr>
        <w:pStyle w:val="ListParagraph"/>
        <w:tabs>
          <w:tab w:val="left" w:pos="360"/>
          <w:tab w:val="left" w:pos="810"/>
        </w:tabs>
        <w:spacing w:after="4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Commissioner Kayserman made a motion to continue the meeting until March 19</w:t>
      </w:r>
      <w:r w:rsidR="002B1E3D">
        <w:rPr>
          <w:rFonts w:ascii="Times New Roman" w:hAnsi="Times New Roman"/>
          <w:color w:val="000000" w:themeColor="text1"/>
        </w:rPr>
        <w:t>, 2020</w:t>
      </w:r>
      <w:r>
        <w:rPr>
          <w:rFonts w:ascii="Times New Roman" w:hAnsi="Times New Roman"/>
          <w:color w:val="000000" w:themeColor="text1"/>
        </w:rPr>
        <w:t xml:space="preserve">. Commissioner Radner seconded. All were in favor. </w:t>
      </w:r>
    </w:p>
    <w:p w14:paraId="69931A3A" w14:textId="77777777" w:rsidR="00763C2C" w:rsidRDefault="00763C2C" w:rsidP="00806F15">
      <w:pPr>
        <w:keepNext/>
        <w:tabs>
          <w:tab w:val="left" w:pos="360"/>
          <w:tab w:val="left" w:pos="810"/>
        </w:tabs>
        <w:spacing w:after="40"/>
        <w:rPr>
          <w:rFonts w:ascii="Times New Roman" w:hAnsi="Times New Roman" w:cs="Times New Roman"/>
          <w:bCs/>
          <w:color w:val="auto"/>
        </w:rPr>
      </w:pPr>
    </w:p>
    <w:p w14:paraId="49970E96" w14:textId="1392AFCC" w:rsidR="00A51551" w:rsidRPr="00F01C78" w:rsidRDefault="00B53CEF" w:rsidP="00883E20">
      <w:pPr>
        <w:tabs>
          <w:tab w:val="left" w:pos="810"/>
          <w:tab w:val="left" w:pos="900"/>
        </w:tabs>
        <w:spacing w:after="40" w:line="240" w:lineRule="auto"/>
        <w:rPr>
          <w:rFonts w:ascii="Times New Roman" w:hAnsi="Times New Roman"/>
          <w:b/>
          <w:bCs/>
          <w:color w:val="auto"/>
          <w:u w:val="single"/>
        </w:rPr>
      </w:pPr>
      <w:r w:rsidRPr="00B53CEF">
        <w:rPr>
          <w:rFonts w:ascii="Times New Roman" w:hAnsi="Times New Roman"/>
          <w:b/>
          <w:bCs/>
          <w:color w:val="auto"/>
          <w:u w:val="single"/>
        </w:rPr>
        <w:t xml:space="preserve">Agents </w:t>
      </w:r>
      <w:r w:rsidRPr="00F01C78">
        <w:rPr>
          <w:rFonts w:ascii="Times New Roman" w:hAnsi="Times New Roman"/>
          <w:b/>
          <w:bCs/>
          <w:color w:val="auto"/>
          <w:u w:val="single"/>
        </w:rPr>
        <w:t>Report</w:t>
      </w:r>
    </w:p>
    <w:p w14:paraId="05364722" w14:textId="721CA451" w:rsidR="00A51551" w:rsidRDefault="00A51551" w:rsidP="002B1E3D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1170" w:hanging="450"/>
        <w:rPr>
          <w:b/>
          <w:color w:val="auto"/>
          <w:sz w:val="22"/>
          <w:szCs w:val="22"/>
          <w:u w:val="single"/>
        </w:rPr>
      </w:pPr>
      <w:r>
        <w:rPr>
          <w:b/>
          <w:color w:val="auto"/>
          <w:sz w:val="22"/>
          <w:szCs w:val="22"/>
          <w:u w:val="single"/>
        </w:rPr>
        <w:t>MACC Annual Conference-February 29</w:t>
      </w:r>
      <w:r w:rsidRPr="00A51551">
        <w:rPr>
          <w:b/>
          <w:color w:val="auto"/>
          <w:sz w:val="22"/>
          <w:szCs w:val="22"/>
          <w:u w:val="single"/>
          <w:vertAlign w:val="superscript"/>
        </w:rPr>
        <w:t>th</w:t>
      </w:r>
      <w:r>
        <w:rPr>
          <w:b/>
          <w:color w:val="auto"/>
          <w:sz w:val="22"/>
          <w:szCs w:val="22"/>
          <w:u w:val="single"/>
        </w:rPr>
        <w:t xml:space="preserve"> at Holy Cross-Debrief </w:t>
      </w:r>
      <w:r>
        <w:rPr>
          <w:bCs/>
          <w:color w:val="auto"/>
          <w:sz w:val="22"/>
          <w:szCs w:val="22"/>
        </w:rPr>
        <w:t>Commissioner Holmes as well as Commissioner Gauthier had been able to attend.</w:t>
      </w:r>
    </w:p>
    <w:p w14:paraId="617FA567" w14:textId="097C6B8A" w:rsidR="00F01C78" w:rsidRDefault="00F01C78" w:rsidP="002B1E3D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1170" w:hanging="450"/>
        <w:rPr>
          <w:b/>
          <w:color w:val="auto"/>
          <w:sz w:val="22"/>
          <w:szCs w:val="22"/>
          <w:u w:val="single"/>
        </w:rPr>
      </w:pPr>
      <w:r w:rsidRPr="00F01C78">
        <w:rPr>
          <w:b/>
          <w:color w:val="auto"/>
          <w:sz w:val="22"/>
          <w:szCs w:val="22"/>
          <w:u w:val="single"/>
        </w:rPr>
        <w:t>Conservation Coffee – Next Meeting March 11, 2020 7:30 AM</w:t>
      </w:r>
    </w:p>
    <w:p w14:paraId="37032820" w14:textId="4FD89E27" w:rsidR="00F01C78" w:rsidRPr="00F01C78" w:rsidRDefault="0020020F" w:rsidP="002B1E3D">
      <w:pPr>
        <w:pStyle w:val="NormalWeb"/>
        <w:tabs>
          <w:tab w:val="left" w:pos="360"/>
        </w:tabs>
        <w:spacing w:after="40" w:line="240" w:lineRule="auto"/>
        <w:ind w:left="1170" w:hanging="450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ab/>
      </w:r>
      <w:r w:rsidR="00F01C78">
        <w:rPr>
          <w:bCs/>
          <w:color w:val="auto"/>
          <w:sz w:val="22"/>
          <w:szCs w:val="22"/>
        </w:rPr>
        <w:t xml:space="preserve">Agent Brown stated that the first Conservation Coffee had been a successful event and she </w:t>
      </w:r>
      <w:r w:rsidR="00316301">
        <w:rPr>
          <w:bCs/>
          <w:color w:val="auto"/>
          <w:sz w:val="22"/>
          <w:szCs w:val="22"/>
        </w:rPr>
        <w:t>was</w:t>
      </w:r>
      <w:r w:rsidR="00F01C78">
        <w:rPr>
          <w:bCs/>
          <w:color w:val="auto"/>
          <w:sz w:val="22"/>
          <w:szCs w:val="22"/>
        </w:rPr>
        <w:t xml:space="preserve"> pleased to find a great number of community members and residents fully engaged in Conservation and Environmental programs as well as holding strong interests in the ConCom’s activities. </w:t>
      </w:r>
    </w:p>
    <w:p w14:paraId="1086D640" w14:textId="54B13F51" w:rsidR="00F01C78" w:rsidRPr="00F01C78" w:rsidRDefault="00F01C78" w:rsidP="002B1E3D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1170" w:hanging="450"/>
        <w:rPr>
          <w:b/>
          <w:color w:val="auto"/>
          <w:sz w:val="22"/>
          <w:szCs w:val="22"/>
          <w:u w:val="single"/>
        </w:rPr>
      </w:pPr>
      <w:r w:rsidRPr="00F01C78">
        <w:rPr>
          <w:b/>
          <w:color w:val="auto"/>
          <w:sz w:val="22"/>
          <w:szCs w:val="22"/>
          <w:u w:val="single"/>
        </w:rPr>
        <w:t xml:space="preserve">198 Fairbanks Road </w:t>
      </w:r>
      <w:r w:rsidRPr="00F01C78">
        <w:rPr>
          <w:bCs/>
          <w:i/>
          <w:iCs/>
          <w:color w:val="auto"/>
          <w:sz w:val="22"/>
          <w:szCs w:val="22"/>
        </w:rPr>
        <w:t>–</w:t>
      </w:r>
      <w:r>
        <w:rPr>
          <w:bCs/>
          <w:color w:val="auto"/>
          <w:sz w:val="22"/>
          <w:szCs w:val="22"/>
        </w:rPr>
        <w:t>The Town of Dedham has been gifted a small parcel of land that is surrounded by protected town land on both sides.</w:t>
      </w:r>
      <w:r w:rsidRPr="00F01C78">
        <w:rPr>
          <w:bCs/>
          <w:i/>
          <w:iCs/>
          <w:color w:val="auto"/>
          <w:sz w:val="22"/>
          <w:szCs w:val="22"/>
        </w:rPr>
        <w:t xml:space="preserve"> </w:t>
      </w:r>
      <w:r w:rsidR="0020020F">
        <w:rPr>
          <w:bCs/>
          <w:color w:val="auto"/>
          <w:sz w:val="22"/>
          <w:szCs w:val="22"/>
        </w:rPr>
        <w:t>Agent Brown is following up with the procedure to accept the gift.</w:t>
      </w:r>
    </w:p>
    <w:p w14:paraId="1FD606EE" w14:textId="4D412C29" w:rsidR="00F01C78" w:rsidRPr="00F01C78" w:rsidRDefault="00A51551" w:rsidP="002B1E3D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1170" w:hanging="450"/>
        <w:rPr>
          <w:bCs/>
          <w:i/>
          <w:iCs/>
          <w:color w:val="auto"/>
          <w:sz w:val="22"/>
          <w:szCs w:val="22"/>
        </w:rPr>
      </w:pPr>
      <w:r>
        <w:rPr>
          <w:b/>
          <w:color w:val="auto"/>
          <w:sz w:val="22"/>
          <w:szCs w:val="22"/>
          <w:u w:val="single"/>
        </w:rPr>
        <w:t>50 Rustcraft Rd</w:t>
      </w:r>
      <w:r w:rsidR="00F01C78" w:rsidRPr="00F01C78">
        <w:rPr>
          <w:b/>
          <w:color w:val="auto"/>
          <w:sz w:val="22"/>
          <w:szCs w:val="22"/>
          <w:u w:val="single"/>
        </w:rPr>
        <w:t xml:space="preserve"> </w:t>
      </w:r>
      <w:r w:rsidR="00F01C78" w:rsidRPr="00F01C78">
        <w:rPr>
          <w:bCs/>
          <w:i/>
          <w:iCs/>
          <w:color w:val="auto"/>
          <w:sz w:val="22"/>
          <w:szCs w:val="22"/>
        </w:rPr>
        <w:t xml:space="preserve">– </w:t>
      </w:r>
      <w:r w:rsidR="006A34A4">
        <w:rPr>
          <w:bCs/>
          <w:color w:val="auto"/>
          <w:sz w:val="22"/>
          <w:szCs w:val="22"/>
        </w:rPr>
        <w:t>Administrative Approval needed</w:t>
      </w:r>
      <w:r w:rsidR="00316301">
        <w:rPr>
          <w:bCs/>
          <w:color w:val="auto"/>
          <w:sz w:val="22"/>
          <w:szCs w:val="22"/>
        </w:rPr>
        <w:t>.</w:t>
      </w:r>
    </w:p>
    <w:p w14:paraId="277ECB8A" w14:textId="5847FA95" w:rsidR="00F01C78" w:rsidRPr="00F01C78" w:rsidRDefault="00F01C78" w:rsidP="002B1E3D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1170" w:hanging="450"/>
        <w:rPr>
          <w:b/>
          <w:color w:val="auto"/>
          <w:sz w:val="22"/>
          <w:szCs w:val="22"/>
          <w:u w:val="single"/>
        </w:rPr>
      </w:pPr>
      <w:r w:rsidRPr="00F01C78">
        <w:rPr>
          <w:b/>
          <w:color w:val="auto"/>
          <w:sz w:val="22"/>
          <w:szCs w:val="22"/>
          <w:u w:val="single"/>
        </w:rPr>
        <w:lastRenderedPageBreak/>
        <w:t>Landscaper Letter –</w:t>
      </w:r>
      <w:r w:rsidR="00DB5E37">
        <w:rPr>
          <w:bCs/>
          <w:color w:val="auto"/>
          <w:sz w:val="22"/>
          <w:szCs w:val="22"/>
        </w:rPr>
        <w:t xml:space="preserve">The Conservation Dept </w:t>
      </w:r>
      <w:r w:rsidR="00A51551">
        <w:rPr>
          <w:bCs/>
          <w:color w:val="auto"/>
          <w:sz w:val="22"/>
          <w:szCs w:val="22"/>
        </w:rPr>
        <w:t>sent out the letter to</w:t>
      </w:r>
      <w:r w:rsidRPr="00F01C78">
        <w:rPr>
          <w:bCs/>
          <w:color w:val="auto"/>
          <w:sz w:val="22"/>
          <w:szCs w:val="22"/>
        </w:rPr>
        <w:t xml:space="preserve"> local Tree and Landscape companies to alert them to the possibility of regulations when working within jurisdictional area</w:t>
      </w:r>
      <w:r w:rsidR="00316301">
        <w:rPr>
          <w:bCs/>
          <w:color w:val="auto"/>
          <w:sz w:val="22"/>
          <w:szCs w:val="22"/>
        </w:rPr>
        <w:t>s</w:t>
      </w:r>
      <w:r w:rsidRPr="00F01C78">
        <w:rPr>
          <w:bCs/>
          <w:color w:val="auto"/>
          <w:sz w:val="22"/>
          <w:szCs w:val="22"/>
        </w:rPr>
        <w:t xml:space="preserve">. </w:t>
      </w:r>
    </w:p>
    <w:p w14:paraId="46533271" w14:textId="44381935" w:rsidR="00F01C78" w:rsidRPr="00A51551" w:rsidRDefault="00A51551" w:rsidP="002B1E3D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1170" w:hanging="450"/>
        <w:rPr>
          <w:b/>
          <w:color w:val="auto"/>
          <w:sz w:val="22"/>
          <w:szCs w:val="22"/>
          <w:u w:val="single"/>
        </w:rPr>
      </w:pPr>
      <w:r>
        <w:rPr>
          <w:b/>
          <w:color w:val="auto"/>
          <w:sz w:val="22"/>
          <w:szCs w:val="22"/>
          <w:u w:val="single"/>
        </w:rPr>
        <w:t>Pollinator flyer</w:t>
      </w:r>
      <w:r w:rsidR="00F01C78" w:rsidRPr="00F01C78">
        <w:rPr>
          <w:b/>
          <w:color w:val="auto"/>
          <w:sz w:val="22"/>
          <w:szCs w:val="22"/>
          <w:u w:val="single"/>
        </w:rPr>
        <w:t xml:space="preserve"> </w:t>
      </w:r>
      <w:r w:rsidR="00F01C78" w:rsidRPr="00F01C78">
        <w:rPr>
          <w:bCs/>
          <w:i/>
          <w:iCs/>
          <w:color w:val="auto"/>
          <w:sz w:val="22"/>
          <w:szCs w:val="22"/>
        </w:rPr>
        <w:t>–</w:t>
      </w:r>
      <w:r w:rsidR="00DB5E37">
        <w:rPr>
          <w:bCs/>
          <w:color w:val="auto"/>
          <w:sz w:val="22"/>
          <w:szCs w:val="22"/>
        </w:rPr>
        <w:t>The Conservation Dept</w:t>
      </w:r>
      <w:r w:rsidR="00F01C78" w:rsidRPr="00F01C78">
        <w:rPr>
          <w:bCs/>
          <w:color w:val="auto"/>
          <w:sz w:val="22"/>
          <w:szCs w:val="22"/>
        </w:rPr>
        <w:t xml:space="preserve"> </w:t>
      </w:r>
      <w:r>
        <w:rPr>
          <w:bCs/>
          <w:color w:val="auto"/>
          <w:sz w:val="22"/>
          <w:szCs w:val="22"/>
        </w:rPr>
        <w:t>created a trifold brochure detailing the importance of pollinators to distribute to the community</w:t>
      </w:r>
      <w:r w:rsidR="00316301">
        <w:rPr>
          <w:bCs/>
          <w:color w:val="auto"/>
          <w:sz w:val="22"/>
          <w:szCs w:val="22"/>
        </w:rPr>
        <w:t>.</w:t>
      </w:r>
    </w:p>
    <w:p w14:paraId="6F9B3E3E" w14:textId="4BDB4666" w:rsidR="00A51551" w:rsidRPr="00F01C78" w:rsidRDefault="00A51551" w:rsidP="002B1E3D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1170" w:hanging="450"/>
        <w:rPr>
          <w:b/>
          <w:color w:val="auto"/>
          <w:sz w:val="22"/>
          <w:szCs w:val="22"/>
          <w:u w:val="single"/>
        </w:rPr>
      </w:pPr>
      <w:r>
        <w:rPr>
          <w:b/>
          <w:color w:val="auto"/>
          <w:sz w:val="22"/>
          <w:szCs w:val="22"/>
          <w:u w:val="single"/>
        </w:rPr>
        <w:t xml:space="preserve">Homeowner Flyer- </w:t>
      </w:r>
      <w:r>
        <w:rPr>
          <w:bCs/>
          <w:color w:val="auto"/>
          <w:sz w:val="22"/>
          <w:szCs w:val="22"/>
        </w:rPr>
        <w:t xml:space="preserve">The Conservation </w:t>
      </w:r>
      <w:r w:rsidR="006A34A4">
        <w:rPr>
          <w:bCs/>
          <w:color w:val="auto"/>
          <w:sz w:val="22"/>
          <w:szCs w:val="22"/>
        </w:rPr>
        <w:t>Commission</w:t>
      </w:r>
      <w:r>
        <w:rPr>
          <w:bCs/>
          <w:color w:val="auto"/>
          <w:sz w:val="22"/>
          <w:szCs w:val="22"/>
        </w:rPr>
        <w:t xml:space="preserve"> created a trifold brochure detailing the buffer zones to riverfront area. </w:t>
      </w:r>
    </w:p>
    <w:p w14:paraId="5206C556" w14:textId="6FFE419E" w:rsidR="00F01C78" w:rsidRPr="002B1E3D" w:rsidRDefault="006A34A4" w:rsidP="002B1E3D">
      <w:pPr>
        <w:pStyle w:val="NormalWeb"/>
        <w:numPr>
          <w:ilvl w:val="1"/>
          <w:numId w:val="19"/>
        </w:numPr>
        <w:tabs>
          <w:tab w:val="left" w:pos="360"/>
        </w:tabs>
        <w:spacing w:after="40" w:line="240" w:lineRule="auto"/>
        <w:ind w:left="1170" w:hanging="450"/>
        <w:rPr>
          <w:bCs/>
          <w:color w:val="auto"/>
          <w:sz w:val="22"/>
          <w:szCs w:val="22"/>
          <w:u w:val="single"/>
        </w:rPr>
      </w:pPr>
      <w:r>
        <w:rPr>
          <w:b/>
          <w:color w:val="auto"/>
          <w:sz w:val="22"/>
          <w:szCs w:val="22"/>
          <w:u w:val="single"/>
        </w:rPr>
        <w:t>20-30 Milton -</w:t>
      </w:r>
      <w:r>
        <w:rPr>
          <w:b/>
          <w:color w:val="auto"/>
          <w:sz w:val="22"/>
          <w:szCs w:val="22"/>
        </w:rPr>
        <w:t>Request for Modification -</w:t>
      </w:r>
      <w:r w:rsidRPr="006A34A4">
        <w:rPr>
          <w:bCs/>
          <w:color w:val="auto"/>
          <w:sz w:val="22"/>
          <w:szCs w:val="22"/>
        </w:rPr>
        <w:t xml:space="preserve">Commission asked for </w:t>
      </w:r>
      <w:r w:rsidR="002B1E3D">
        <w:rPr>
          <w:bCs/>
          <w:color w:val="auto"/>
          <w:sz w:val="22"/>
          <w:szCs w:val="22"/>
        </w:rPr>
        <w:t>engineering calculations to support this request for a modification to the curbing at the former rain garden near the Dunkin Donuts.</w:t>
      </w:r>
      <w:r w:rsidRPr="006A34A4">
        <w:rPr>
          <w:bCs/>
          <w:color w:val="auto"/>
          <w:sz w:val="22"/>
          <w:szCs w:val="22"/>
        </w:rPr>
        <w:t xml:space="preserve">  </w:t>
      </w:r>
    </w:p>
    <w:p w14:paraId="08282C8F" w14:textId="77777777" w:rsidR="002B1E3D" w:rsidRPr="006A34A4" w:rsidRDefault="002B1E3D" w:rsidP="00B65CDA">
      <w:pPr>
        <w:pStyle w:val="NormalWeb"/>
        <w:tabs>
          <w:tab w:val="left" w:pos="360"/>
        </w:tabs>
        <w:spacing w:after="40" w:line="240" w:lineRule="auto"/>
        <w:ind w:left="810"/>
        <w:rPr>
          <w:bCs/>
          <w:color w:val="auto"/>
          <w:sz w:val="22"/>
          <w:szCs w:val="22"/>
          <w:u w:val="single"/>
        </w:rPr>
      </w:pPr>
    </w:p>
    <w:p w14:paraId="3FFCCCF0" w14:textId="277D7EB2" w:rsidR="00F01C78" w:rsidRPr="006A34A4" w:rsidRDefault="00F01C78" w:rsidP="002B1E3D">
      <w:pPr>
        <w:pStyle w:val="NormalWeb"/>
        <w:tabs>
          <w:tab w:val="left" w:pos="1080"/>
        </w:tabs>
        <w:spacing w:after="40" w:line="240" w:lineRule="auto"/>
        <w:rPr>
          <w:color w:val="auto"/>
          <w:sz w:val="22"/>
          <w:szCs w:val="22"/>
        </w:rPr>
      </w:pPr>
      <w:r w:rsidRPr="006A34A4">
        <w:rPr>
          <w:b/>
          <w:color w:val="auto"/>
          <w:sz w:val="22"/>
          <w:szCs w:val="22"/>
          <w:u w:val="single"/>
        </w:rPr>
        <w:t>Meeting Minutes</w:t>
      </w:r>
      <w:r w:rsidRPr="006A34A4">
        <w:rPr>
          <w:bCs/>
          <w:color w:val="auto"/>
          <w:sz w:val="22"/>
          <w:szCs w:val="22"/>
        </w:rPr>
        <w:t xml:space="preserve"> – 2/</w:t>
      </w:r>
      <w:r w:rsidR="006A34A4" w:rsidRPr="006A34A4">
        <w:rPr>
          <w:bCs/>
          <w:color w:val="auto"/>
          <w:sz w:val="22"/>
          <w:szCs w:val="22"/>
        </w:rPr>
        <w:t>20</w:t>
      </w:r>
      <w:r w:rsidRPr="006A34A4">
        <w:rPr>
          <w:bCs/>
          <w:color w:val="auto"/>
          <w:sz w:val="22"/>
          <w:szCs w:val="22"/>
        </w:rPr>
        <w:t xml:space="preserve"> </w:t>
      </w:r>
      <w:r w:rsidR="006A34A4">
        <w:rPr>
          <w:bCs/>
          <w:color w:val="auto"/>
          <w:sz w:val="22"/>
          <w:szCs w:val="22"/>
        </w:rPr>
        <w:t xml:space="preserve">have not been reviewed </w:t>
      </w:r>
      <w:r w:rsidR="00BC2A2D">
        <w:rPr>
          <w:bCs/>
          <w:color w:val="auto"/>
          <w:sz w:val="22"/>
          <w:szCs w:val="22"/>
        </w:rPr>
        <w:t>yet</w:t>
      </w:r>
    </w:p>
    <w:p w14:paraId="553E4762" w14:textId="77777777" w:rsidR="006A34A4" w:rsidRPr="006A34A4" w:rsidRDefault="006A34A4" w:rsidP="002B1E3D">
      <w:pPr>
        <w:pStyle w:val="NormalWeb"/>
        <w:tabs>
          <w:tab w:val="left" w:pos="1080"/>
        </w:tabs>
        <w:spacing w:after="40" w:line="240" w:lineRule="auto"/>
        <w:ind w:left="1080"/>
        <w:rPr>
          <w:color w:val="auto"/>
          <w:sz w:val="22"/>
          <w:szCs w:val="22"/>
        </w:rPr>
      </w:pPr>
    </w:p>
    <w:p w14:paraId="5A0719C1" w14:textId="717D86B6" w:rsidR="00896301" w:rsidRDefault="00896301" w:rsidP="009971A6">
      <w:pPr>
        <w:pStyle w:val="NormalWeb"/>
        <w:tabs>
          <w:tab w:val="left" w:pos="1080"/>
        </w:tabs>
        <w:spacing w:after="40" w:line="24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Meeting adjourn</w:t>
      </w:r>
      <w:r w:rsidR="006A03DE">
        <w:rPr>
          <w:color w:val="auto"/>
          <w:sz w:val="22"/>
          <w:szCs w:val="22"/>
        </w:rPr>
        <w:t>ed</w:t>
      </w:r>
      <w:r w:rsidR="007F1155">
        <w:rPr>
          <w:color w:val="auto"/>
          <w:sz w:val="22"/>
          <w:szCs w:val="22"/>
        </w:rPr>
        <w:t xml:space="preserve"> </w:t>
      </w:r>
      <w:r w:rsidR="006A34A4">
        <w:rPr>
          <w:color w:val="auto"/>
          <w:sz w:val="22"/>
          <w:szCs w:val="22"/>
        </w:rPr>
        <w:t>10:</w:t>
      </w:r>
      <w:r w:rsidR="00B43311">
        <w:rPr>
          <w:color w:val="auto"/>
          <w:sz w:val="22"/>
          <w:szCs w:val="22"/>
        </w:rPr>
        <w:t>20</w:t>
      </w:r>
      <w:r w:rsidR="007F1155">
        <w:rPr>
          <w:color w:val="auto"/>
          <w:sz w:val="22"/>
          <w:szCs w:val="22"/>
        </w:rPr>
        <w:t xml:space="preserve"> pm</w:t>
      </w:r>
      <w:r w:rsidR="003478F6">
        <w:rPr>
          <w:color w:val="auto"/>
          <w:sz w:val="22"/>
          <w:szCs w:val="22"/>
        </w:rPr>
        <w:t>.</w:t>
      </w:r>
    </w:p>
    <w:p w14:paraId="5D73DC99" w14:textId="77777777" w:rsidR="00B311A8" w:rsidRDefault="00B311A8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</w:p>
    <w:p w14:paraId="40E2D178" w14:textId="77777777" w:rsidR="00C15E24" w:rsidRDefault="00C15E24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</w:p>
    <w:p w14:paraId="588AB40C" w14:textId="77777777" w:rsidR="00C15E24" w:rsidRDefault="00C15E24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</w:p>
    <w:p w14:paraId="5C2A06D3" w14:textId="77777777" w:rsidR="00C03BA1" w:rsidRDefault="00B311A8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R</w:t>
      </w:r>
      <w:r w:rsidR="00C03BA1" w:rsidRPr="003A5F3E">
        <w:rPr>
          <w:rFonts w:ascii="Times New Roman" w:hAnsi="Times New Roman" w:cs="Times New Roman"/>
          <w:color w:val="auto"/>
        </w:rPr>
        <w:t xml:space="preserve">espectfully submitted, </w:t>
      </w:r>
    </w:p>
    <w:p w14:paraId="5354BE05" w14:textId="0C3FC8B6" w:rsidR="002F783C" w:rsidRDefault="00322A51" w:rsidP="003A5F3E">
      <w:pPr>
        <w:spacing w:after="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Renee Johnson, Administrator </w:t>
      </w:r>
    </w:p>
    <w:sectPr w:rsidR="002F783C" w:rsidSect="0043147D">
      <w:footerReference w:type="default" r:id="rId8"/>
      <w:headerReference w:type="first" r:id="rId9"/>
      <w:footerReference w:type="first" r:id="rId10"/>
      <w:pgSz w:w="12240" w:h="15840" w:code="1"/>
      <w:pgMar w:top="1296" w:right="1296" w:bottom="1296" w:left="1584" w:header="720" w:footer="97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2ACC32" w14:textId="77777777" w:rsidR="004870BE" w:rsidRDefault="004870BE">
      <w:pPr>
        <w:spacing w:after="0" w:line="240" w:lineRule="auto"/>
      </w:pPr>
      <w:r>
        <w:separator/>
      </w:r>
    </w:p>
  </w:endnote>
  <w:endnote w:type="continuationSeparator" w:id="0">
    <w:p w14:paraId="37192EA9" w14:textId="77777777" w:rsidR="004870BE" w:rsidRDefault="00487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864970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E8DD81" w14:textId="77777777" w:rsidR="008B1A18" w:rsidRPr="003A5F3E" w:rsidRDefault="008B1A18" w:rsidP="005E0CB9">
        <w:pPr>
          <w:pStyle w:val="Footer"/>
          <w:rPr>
            <w:rFonts w:ascii="Times New Roman" w:hAnsi="Times New Roman" w:cs="Times New Roman"/>
          </w:rPr>
        </w:pPr>
        <w:r w:rsidRPr="003A5F3E">
          <w:rPr>
            <w:rFonts w:ascii="Times New Roman" w:hAnsi="Times New Roman" w:cs="Times New Roman"/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C5E809B" wp14:editId="70787580">
                  <wp:simplePos x="0" y="0"/>
                  <wp:positionH relativeFrom="column">
                    <wp:posOffset>7033</wp:posOffset>
                  </wp:positionH>
                  <wp:positionV relativeFrom="paragraph">
                    <wp:posOffset>90463</wp:posOffset>
                  </wp:positionV>
                  <wp:extent cx="5985803" cy="7034"/>
                  <wp:effectExtent l="0" t="0" r="34290" b="31115"/>
                  <wp:wrapNone/>
                  <wp:docPr id="2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985803" cy="703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6456117" id="Straight Connector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1pt" to="471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" strokecolor="black [3200]" strokeweight=".5pt">
                  <v:stroke joinstyle="miter"/>
                </v:line>
              </w:pict>
            </mc:Fallback>
          </mc:AlternateContent>
        </w:r>
      </w:p>
      <w:p w14:paraId="03B3D130" w14:textId="7EAB74C0" w:rsidR="008B1A18" w:rsidRPr="003A5F3E" w:rsidRDefault="008B1A18" w:rsidP="005E0CB9">
        <w:pPr>
          <w:pStyle w:val="Footer"/>
          <w:rPr>
            <w:rFonts w:ascii="Times New Roman" w:hAnsi="Times New Roman" w:cs="Times New Roman"/>
          </w:rPr>
        </w:pPr>
        <w:r w:rsidRPr="003A5F3E">
          <w:rPr>
            <w:rFonts w:ascii="Times New Roman" w:hAnsi="Times New Roman" w:cs="Times New Roman"/>
          </w:rPr>
          <w:t>Conservation Commission</w:t>
        </w:r>
        <w:r w:rsidRPr="003A5F3E">
          <w:rPr>
            <w:rFonts w:ascii="Times New Roman" w:hAnsi="Times New Roman" w:cs="Times New Roman"/>
          </w:rPr>
          <w:tab/>
        </w:r>
        <w:r w:rsidRPr="003A5F3E">
          <w:rPr>
            <w:rFonts w:ascii="Times New Roman" w:hAnsi="Times New Roman" w:cs="Times New Roman"/>
          </w:rPr>
          <w:ptab w:relativeTo="margin" w:alignment="center" w:leader="none"/>
        </w:r>
        <w:r w:rsidRPr="003A5F3E">
          <w:rPr>
            <w:rFonts w:ascii="Times New Roman" w:hAnsi="Times New Roman" w:cs="Times New Roman"/>
          </w:rPr>
          <w:t xml:space="preserve">Page </w:t>
        </w:r>
        <w:r w:rsidRPr="003A5F3E">
          <w:rPr>
            <w:rFonts w:ascii="Times New Roman" w:hAnsi="Times New Roman" w:cs="Times New Roman"/>
          </w:rPr>
          <w:fldChar w:fldCharType="begin"/>
        </w:r>
        <w:r w:rsidRPr="003A5F3E">
          <w:rPr>
            <w:rFonts w:ascii="Times New Roman" w:hAnsi="Times New Roman" w:cs="Times New Roman"/>
          </w:rPr>
          <w:instrText xml:space="preserve"> PAGE   \* MERGEFORMAT </w:instrText>
        </w:r>
        <w:r w:rsidRPr="003A5F3E">
          <w:rPr>
            <w:rFonts w:ascii="Times New Roman" w:hAnsi="Times New Roman" w:cs="Times New Roman"/>
          </w:rPr>
          <w:fldChar w:fldCharType="separate"/>
        </w:r>
        <w:r w:rsidR="009A0947">
          <w:rPr>
            <w:rFonts w:ascii="Times New Roman" w:hAnsi="Times New Roman" w:cs="Times New Roman"/>
            <w:noProof/>
          </w:rPr>
          <w:t>6</w:t>
        </w:r>
        <w:r w:rsidRPr="003A5F3E">
          <w:rPr>
            <w:rFonts w:ascii="Times New Roman" w:hAnsi="Times New Roman" w:cs="Times New Roman"/>
            <w:noProof/>
          </w:rPr>
          <w:fldChar w:fldCharType="end"/>
        </w:r>
        <w:r w:rsidR="00F1125A">
          <w:rPr>
            <w:rFonts w:ascii="Times New Roman" w:hAnsi="Times New Roman" w:cs="Times New Roman"/>
            <w:noProof/>
          </w:rPr>
          <w:tab/>
        </w:r>
        <w:r w:rsidR="00F1125A">
          <w:rPr>
            <w:rFonts w:ascii="Times New Roman" w:hAnsi="Times New Roman" w:cs="Times New Roman"/>
            <w:noProof/>
          </w:rPr>
          <w:tab/>
        </w:r>
        <w:r w:rsidR="00F1125A">
          <w:rPr>
            <w:rFonts w:ascii="Times New Roman" w:hAnsi="Times New Roman" w:cs="Times New Roman"/>
            <w:noProof/>
          </w:rPr>
          <w:tab/>
        </w:r>
        <w:r w:rsidR="00F1125A">
          <w:rPr>
            <w:rFonts w:ascii="Times New Roman" w:hAnsi="Times New Roman" w:cs="Times New Roman"/>
            <w:noProof/>
          </w:rPr>
          <w:tab/>
          <w:t xml:space="preserve">         </w:t>
        </w:r>
        <w:r>
          <w:rPr>
            <w:rFonts w:ascii="Times New Roman" w:hAnsi="Times New Roman" w:cs="Times New Roman"/>
          </w:rPr>
          <w:t xml:space="preserve">Minutes: </w:t>
        </w:r>
        <w:r w:rsidR="00F752EE">
          <w:rPr>
            <w:rFonts w:ascii="Times New Roman" w:hAnsi="Times New Roman" w:cs="Times New Roman"/>
          </w:rPr>
          <w:t>3/5/</w:t>
        </w:r>
        <w:r w:rsidR="009A3C77">
          <w:rPr>
            <w:rFonts w:ascii="Times New Roman" w:hAnsi="Times New Roman" w:cs="Times New Roman"/>
          </w:rPr>
          <w:t>2020</w:t>
        </w:r>
      </w:p>
      <w:p w14:paraId="246CDA9B" w14:textId="77777777" w:rsidR="008B1A18" w:rsidRDefault="008B1A18" w:rsidP="0037143A">
        <w:pPr>
          <w:pStyle w:val="Footer"/>
          <w:tabs>
            <w:tab w:val="left" w:pos="2825"/>
          </w:tabs>
          <w:ind w:firstLine="720"/>
        </w:pPr>
        <w:r>
          <w:tab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481E3" w14:textId="77777777" w:rsidR="008B1A18" w:rsidRDefault="008B1A1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E8D48" wp14:editId="756EDFB1">
              <wp:simplePos x="0" y="0"/>
              <wp:positionH relativeFrom="column">
                <wp:posOffset>7033</wp:posOffset>
              </wp:positionH>
              <wp:positionV relativeFrom="paragraph">
                <wp:posOffset>90463</wp:posOffset>
              </wp:positionV>
              <wp:extent cx="5985803" cy="7034"/>
              <wp:effectExtent l="0" t="0" r="34290" b="3111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803" cy="703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8A296E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1pt" to="471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" strokecolor="black [3200]" strokeweight=".5pt">
              <v:stroke joinstyle="miter"/>
            </v:line>
          </w:pict>
        </mc:Fallback>
      </mc:AlternateContent>
    </w:r>
  </w:p>
  <w:p w14:paraId="18F7A25B" w14:textId="147246E3" w:rsidR="008B1A18" w:rsidRPr="003A5F3E" w:rsidRDefault="008B1A18">
    <w:pPr>
      <w:pStyle w:val="Footer"/>
      <w:rPr>
        <w:rFonts w:ascii="Times New Roman" w:hAnsi="Times New Roman" w:cs="Times New Roman"/>
      </w:rPr>
    </w:pPr>
    <w:r w:rsidRPr="003A5F3E">
      <w:rPr>
        <w:rFonts w:ascii="Times New Roman" w:hAnsi="Times New Roman" w:cs="Times New Roman"/>
      </w:rPr>
      <w:t>Conservation Commission</w:t>
    </w:r>
    <w:r w:rsidRPr="003A5F3E">
      <w:rPr>
        <w:rFonts w:ascii="Times New Roman" w:hAnsi="Times New Roman" w:cs="Times New Roman"/>
      </w:rPr>
      <w:tab/>
    </w:r>
    <w:r w:rsidRPr="003A5F3E">
      <w:rPr>
        <w:rFonts w:ascii="Times New Roman" w:hAnsi="Times New Roman" w:cs="Times New Roman"/>
      </w:rPr>
      <w:ptab w:relativeTo="margin" w:alignment="center" w:leader="none"/>
    </w:r>
    <w:r w:rsidRPr="003A5F3E">
      <w:rPr>
        <w:rFonts w:ascii="Times New Roman" w:hAnsi="Times New Roman" w:cs="Times New Roman"/>
      </w:rPr>
      <w:t xml:space="preserve">Page </w:t>
    </w:r>
    <w:r w:rsidRPr="003A5F3E">
      <w:rPr>
        <w:rFonts w:ascii="Times New Roman" w:hAnsi="Times New Roman" w:cs="Times New Roman"/>
      </w:rPr>
      <w:fldChar w:fldCharType="begin"/>
    </w:r>
    <w:r w:rsidRPr="003A5F3E">
      <w:rPr>
        <w:rFonts w:ascii="Times New Roman" w:hAnsi="Times New Roman" w:cs="Times New Roman"/>
      </w:rPr>
      <w:instrText xml:space="preserve"> PAGE   \* MERGEFORMAT </w:instrText>
    </w:r>
    <w:r w:rsidRPr="003A5F3E">
      <w:rPr>
        <w:rFonts w:ascii="Times New Roman" w:hAnsi="Times New Roman" w:cs="Times New Roman"/>
      </w:rPr>
      <w:fldChar w:fldCharType="separate"/>
    </w:r>
    <w:r w:rsidR="009A0947">
      <w:rPr>
        <w:rFonts w:ascii="Times New Roman" w:hAnsi="Times New Roman" w:cs="Times New Roman"/>
        <w:noProof/>
      </w:rPr>
      <w:t>1</w:t>
    </w:r>
    <w:r w:rsidRPr="003A5F3E">
      <w:rPr>
        <w:rFonts w:ascii="Times New Roman" w:hAnsi="Times New Roman" w:cs="Times New Roman"/>
        <w:noProof/>
      </w:rPr>
      <w:fldChar w:fldCharType="end"/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noProof/>
      </w:rPr>
      <w:tab/>
    </w:r>
    <w:r>
      <w:rPr>
        <w:rFonts w:ascii="Times New Roman" w:hAnsi="Times New Roman" w:cs="Times New Roman"/>
        <w:noProof/>
      </w:rPr>
      <w:tab/>
    </w:r>
    <w:r w:rsidR="009A3C77">
      <w:rPr>
        <w:rFonts w:ascii="Times New Roman" w:hAnsi="Times New Roman" w:cs="Times New Roman"/>
        <w:noProof/>
      </w:rPr>
      <w:t>Minutes</w:t>
    </w:r>
    <w:r w:rsidRPr="003A5F3E">
      <w:rPr>
        <w:rFonts w:ascii="Times New Roman" w:hAnsi="Times New Roman" w:cs="Times New Roman"/>
      </w:rPr>
      <w:t xml:space="preserve">: </w:t>
    </w:r>
    <w:r w:rsidR="00F752EE">
      <w:rPr>
        <w:rFonts w:ascii="Times New Roman" w:hAnsi="Times New Roman" w:cs="Times New Roman"/>
      </w:rPr>
      <w:t>3</w:t>
    </w:r>
    <w:r w:rsidR="002652A6">
      <w:rPr>
        <w:rFonts w:ascii="Times New Roman" w:hAnsi="Times New Roman" w:cs="Times New Roman"/>
      </w:rPr>
      <w:t>/</w:t>
    </w:r>
    <w:r w:rsidR="00DD07C3">
      <w:rPr>
        <w:rFonts w:ascii="Times New Roman" w:hAnsi="Times New Roman" w:cs="Times New Roman"/>
      </w:rPr>
      <w:t>5</w:t>
    </w:r>
    <w:r w:rsidR="009A3C77">
      <w:rPr>
        <w:rFonts w:ascii="Times New Roman" w:hAnsi="Times New Roman" w:cs="Times New Roman"/>
      </w:rPr>
      <w:t>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E43F2" w14:textId="77777777" w:rsidR="004870BE" w:rsidRDefault="004870BE">
      <w:pPr>
        <w:spacing w:after="0" w:line="240" w:lineRule="auto"/>
      </w:pPr>
      <w:r>
        <w:separator/>
      </w:r>
    </w:p>
  </w:footnote>
  <w:footnote w:type="continuationSeparator" w:id="0">
    <w:p w14:paraId="73072A81" w14:textId="77777777" w:rsidR="004870BE" w:rsidRDefault="00487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D1AEA" w14:textId="77777777" w:rsidR="008B1A18" w:rsidRDefault="008B1A18" w:rsidP="008B1A18">
    <w:pPr>
      <w:pStyle w:val="Header"/>
      <w:jc w:val="right"/>
    </w:pPr>
  </w:p>
  <w:tbl>
    <w:tblPr>
      <w:tblStyle w:val="TableGrid"/>
      <w:tblpPr w:leftFromText="180" w:rightFromText="180" w:vertAnchor="text" w:horzAnchor="margin" w:tblpY="16"/>
      <w:tblW w:w="95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04"/>
      <w:gridCol w:w="4115"/>
      <w:gridCol w:w="2286"/>
    </w:tblGrid>
    <w:tr w:rsidR="008B1A18" w:rsidRPr="0089351F" w14:paraId="628D741B" w14:textId="77777777" w:rsidTr="00F2121F">
      <w:trPr>
        <w:trHeight w:val="288"/>
      </w:trPr>
      <w:tc>
        <w:tcPr>
          <w:tcW w:w="3104" w:type="dxa"/>
        </w:tcPr>
        <w:p w14:paraId="0ABE7CC5" w14:textId="77777777" w:rsidR="008B1A18" w:rsidRPr="0089351F" w:rsidRDefault="008B1A18" w:rsidP="006B33EB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 xml:space="preserve">Laura Bugay, </w:t>
          </w:r>
          <w:r>
            <w:rPr>
              <w:sz w:val="20"/>
              <w:szCs w:val="20"/>
            </w:rPr>
            <w:t>Chair</w:t>
          </w:r>
        </w:p>
      </w:tc>
      <w:tc>
        <w:tcPr>
          <w:tcW w:w="4115" w:type="dxa"/>
          <w:vMerge w:val="restart"/>
        </w:tcPr>
        <w:p w14:paraId="48C54B7C" w14:textId="77777777" w:rsidR="008B1A18" w:rsidRDefault="008B1A18" w:rsidP="00C03BA1">
          <w:pPr>
            <w:ind w:left="928"/>
          </w:pPr>
          <w:r>
            <w:rPr>
              <w:noProof/>
            </w:rPr>
            <w:drawing>
              <wp:inline distT="0" distB="0" distL="0" distR="0" wp14:anchorId="58409C5F" wp14:editId="41BBBF81">
                <wp:extent cx="914400" cy="914400"/>
                <wp:effectExtent l="0" t="0" r="0" b="0"/>
                <wp:docPr id="3" name="Picture 3" descr="C:\Users\ebrown\AppData\Local\Microsoft\Windows\INetCache\Content.Word\Town Seal -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ebrown\AppData\Local\Microsoft\Windows\INetCache\Content.Word\Town Seal -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6" w:type="dxa"/>
        </w:tcPr>
        <w:p w14:paraId="53EDBD8C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26 Bryant Street</w:t>
          </w:r>
        </w:p>
      </w:tc>
    </w:tr>
    <w:tr w:rsidR="008B1A18" w:rsidRPr="0089351F" w14:paraId="0ADF439B" w14:textId="77777777" w:rsidTr="00F2121F">
      <w:trPr>
        <w:trHeight w:val="288"/>
      </w:trPr>
      <w:tc>
        <w:tcPr>
          <w:tcW w:w="3104" w:type="dxa"/>
        </w:tcPr>
        <w:p w14:paraId="67AC1E40" w14:textId="3394B335" w:rsidR="008B1A18" w:rsidRPr="0089351F" w:rsidRDefault="00806F15" w:rsidP="006B33EB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Michelle Kayserman</w:t>
          </w:r>
          <w:r w:rsidR="008B1A18" w:rsidRPr="0089351F">
            <w:rPr>
              <w:sz w:val="20"/>
              <w:szCs w:val="20"/>
            </w:rPr>
            <w:t xml:space="preserve">, </w:t>
          </w:r>
          <w:r w:rsidR="008B1A18">
            <w:rPr>
              <w:sz w:val="20"/>
              <w:szCs w:val="20"/>
            </w:rPr>
            <w:t>Vice Chair</w:t>
          </w:r>
        </w:p>
      </w:tc>
      <w:tc>
        <w:tcPr>
          <w:tcW w:w="4115" w:type="dxa"/>
          <w:vMerge/>
        </w:tcPr>
        <w:p w14:paraId="51117369" w14:textId="77777777" w:rsidR="008B1A18" w:rsidRDefault="008B1A18" w:rsidP="00F338A3"/>
      </w:tc>
      <w:tc>
        <w:tcPr>
          <w:tcW w:w="2286" w:type="dxa"/>
        </w:tcPr>
        <w:p w14:paraId="25856E25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Dedham, MA 02026</w:t>
          </w:r>
        </w:p>
      </w:tc>
    </w:tr>
    <w:tr w:rsidR="008B1A18" w:rsidRPr="0089351F" w14:paraId="7CDDF3E0" w14:textId="77777777" w:rsidTr="00F2121F">
      <w:trPr>
        <w:trHeight w:val="288"/>
      </w:trPr>
      <w:tc>
        <w:tcPr>
          <w:tcW w:w="3104" w:type="dxa"/>
        </w:tcPr>
        <w:p w14:paraId="323153B2" w14:textId="231F9C1A" w:rsidR="008B1A18" w:rsidRPr="0089351F" w:rsidRDefault="008B1A18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 xml:space="preserve">Stephanie Radner, </w:t>
          </w:r>
          <w:r w:rsidR="00806F15">
            <w:rPr>
              <w:sz w:val="20"/>
              <w:szCs w:val="20"/>
            </w:rPr>
            <w:t>Clerk</w:t>
          </w:r>
        </w:p>
      </w:tc>
      <w:tc>
        <w:tcPr>
          <w:tcW w:w="4115" w:type="dxa"/>
          <w:vMerge/>
        </w:tcPr>
        <w:p w14:paraId="2964AAF5" w14:textId="77777777" w:rsidR="008B1A18" w:rsidRDefault="008B1A18" w:rsidP="00F338A3"/>
      </w:tc>
      <w:tc>
        <w:tcPr>
          <w:tcW w:w="2286" w:type="dxa"/>
        </w:tcPr>
        <w:p w14:paraId="15FF43EF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</w:p>
      </w:tc>
    </w:tr>
    <w:tr w:rsidR="008B1A18" w:rsidRPr="0089351F" w14:paraId="47320250" w14:textId="77777777" w:rsidTr="00F2121F">
      <w:trPr>
        <w:trHeight w:val="288"/>
      </w:trPr>
      <w:tc>
        <w:tcPr>
          <w:tcW w:w="3104" w:type="dxa"/>
        </w:tcPr>
        <w:p w14:paraId="1498419F" w14:textId="77777777" w:rsidR="008B1A18" w:rsidRDefault="008B1A18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Leigh Hafrey, Associate</w:t>
          </w:r>
        </w:p>
        <w:p w14:paraId="301A2E5B" w14:textId="77777777" w:rsidR="008B1A18" w:rsidRDefault="008B1A18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Nick Garlick, Associate</w:t>
          </w:r>
        </w:p>
        <w:p w14:paraId="5DFF16C1" w14:textId="77777777" w:rsidR="008B1A18" w:rsidRDefault="008B1A18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Eliot Foulds, Associate</w:t>
          </w:r>
        </w:p>
        <w:p w14:paraId="7771185F" w14:textId="4AECA2F5" w:rsidR="0035648E" w:rsidRPr="0089351F" w:rsidRDefault="0035648E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Bob Holmes, Associate </w:t>
          </w:r>
        </w:p>
      </w:tc>
      <w:tc>
        <w:tcPr>
          <w:tcW w:w="4115" w:type="dxa"/>
          <w:vMerge/>
        </w:tcPr>
        <w:p w14:paraId="48C0E102" w14:textId="77777777" w:rsidR="008B1A18" w:rsidRDefault="008B1A18" w:rsidP="00F338A3"/>
      </w:tc>
      <w:tc>
        <w:tcPr>
          <w:tcW w:w="2286" w:type="dxa"/>
        </w:tcPr>
        <w:p w14:paraId="2A84E42B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Tel: (781) 751-9210</w:t>
          </w:r>
        </w:p>
      </w:tc>
    </w:tr>
    <w:tr w:rsidR="008B1A18" w:rsidRPr="0089351F" w14:paraId="12413593" w14:textId="77777777" w:rsidTr="00F2121F">
      <w:trPr>
        <w:trHeight w:val="288"/>
      </w:trPr>
      <w:tc>
        <w:tcPr>
          <w:tcW w:w="3104" w:type="dxa"/>
        </w:tcPr>
        <w:p w14:paraId="648F95D8" w14:textId="77777777" w:rsidR="008B1A18" w:rsidRPr="0089351F" w:rsidRDefault="008B1A18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Nathan Gauthier, Alternate</w:t>
          </w:r>
        </w:p>
      </w:tc>
      <w:tc>
        <w:tcPr>
          <w:tcW w:w="4115" w:type="dxa"/>
          <w:vMerge/>
        </w:tcPr>
        <w:p w14:paraId="7374770D" w14:textId="77777777" w:rsidR="008B1A18" w:rsidRDefault="008B1A18" w:rsidP="00F338A3"/>
      </w:tc>
      <w:tc>
        <w:tcPr>
          <w:tcW w:w="2286" w:type="dxa"/>
        </w:tcPr>
        <w:p w14:paraId="56082A07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Fax: (781) 751-9109</w:t>
          </w:r>
        </w:p>
      </w:tc>
    </w:tr>
    <w:tr w:rsidR="008B1A18" w:rsidRPr="0089351F" w14:paraId="3A99C5A6" w14:textId="77777777" w:rsidTr="00F2121F">
      <w:trPr>
        <w:trHeight w:val="288"/>
      </w:trPr>
      <w:tc>
        <w:tcPr>
          <w:tcW w:w="3104" w:type="dxa"/>
        </w:tcPr>
        <w:p w14:paraId="6AB0F283" w14:textId="77777777" w:rsidR="008B1A18" w:rsidRPr="0089351F" w:rsidRDefault="008B1A18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Sean Hanley, Alternate</w:t>
          </w:r>
        </w:p>
      </w:tc>
      <w:tc>
        <w:tcPr>
          <w:tcW w:w="4115" w:type="dxa"/>
          <w:vMerge/>
        </w:tcPr>
        <w:p w14:paraId="21546894" w14:textId="77777777" w:rsidR="008B1A18" w:rsidRDefault="008B1A18" w:rsidP="00F338A3"/>
      </w:tc>
      <w:tc>
        <w:tcPr>
          <w:tcW w:w="2286" w:type="dxa"/>
        </w:tcPr>
        <w:p w14:paraId="3E3CB934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</w:p>
      </w:tc>
    </w:tr>
    <w:tr w:rsidR="008B1A18" w:rsidRPr="0089351F" w14:paraId="0B07D67A" w14:textId="77777777" w:rsidTr="00F2121F">
      <w:trPr>
        <w:trHeight w:val="288"/>
      </w:trPr>
      <w:tc>
        <w:tcPr>
          <w:tcW w:w="3104" w:type="dxa"/>
        </w:tcPr>
        <w:p w14:paraId="38404F44" w14:textId="77777777" w:rsidR="008B1A18" w:rsidRPr="0089351F" w:rsidRDefault="008B1A18" w:rsidP="00F338A3">
          <w:pPr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Elissa Brown, Agent</w:t>
          </w:r>
        </w:p>
      </w:tc>
      <w:tc>
        <w:tcPr>
          <w:tcW w:w="4115" w:type="dxa"/>
          <w:vMerge w:val="restart"/>
        </w:tcPr>
        <w:p w14:paraId="162DB501" w14:textId="77777777" w:rsidR="008B1A18" w:rsidRPr="0089351F" w:rsidRDefault="008B1A18" w:rsidP="00F338A3">
          <w:pPr>
            <w:jc w:val="center"/>
            <w:rPr>
              <w:rFonts w:ascii="Arial Rounded MT Bold" w:hAnsi="Arial Rounded MT Bold"/>
              <w:sz w:val="36"/>
              <w:szCs w:val="36"/>
            </w:rPr>
          </w:pPr>
          <w:r w:rsidRPr="0089351F">
            <w:rPr>
              <w:rFonts w:ascii="Arial Rounded MT Bold" w:hAnsi="Arial Rounded MT Bold"/>
              <w:sz w:val="36"/>
              <w:szCs w:val="36"/>
            </w:rPr>
            <w:t>TOWN OF DEDHAM</w:t>
          </w:r>
        </w:p>
      </w:tc>
      <w:tc>
        <w:tcPr>
          <w:tcW w:w="2286" w:type="dxa"/>
        </w:tcPr>
        <w:p w14:paraId="72859DE9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Website</w:t>
          </w:r>
        </w:p>
      </w:tc>
    </w:tr>
    <w:tr w:rsidR="008B1A18" w:rsidRPr="0089351F" w14:paraId="71913969" w14:textId="77777777" w:rsidTr="00F2121F">
      <w:trPr>
        <w:trHeight w:val="288"/>
      </w:trPr>
      <w:tc>
        <w:tcPr>
          <w:tcW w:w="3104" w:type="dxa"/>
        </w:tcPr>
        <w:p w14:paraId="46BBD046" w14:textId="77777777" w:rsidR="008B1A18" w:rsidRPr="0089351F" w:rsidRDefault="008B1A18" w:rsidP="00F338A3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Renee Johnson</w:t>
          </w:r>
          <w:r w:rsidRPr="0089351F">
            <w:rPr>
              <w:sz w:val="20"/>
              <w:szCs w:val="20"/>
            </w:rPr>
            <w:t>, Administrator</w:t>
          </w:r>
        </w:p>
      </w:tc>
      <w:tc>
        <w:tcPr>
          <w:tcW w:w="4115" w:type="dxa"/>
          <w:vMerge/>
        </w:tcPr>
        <w:p w14:paraId="2E31F1FC" w14:textId="77777777" w:rsidR="008B1A18" w:rsidRDefault="008B1A18" w:rsidP="00F338A3"/>
      </w:tc>
      <w:tc>
        <w:tcPr>
          <w:tcW w:w="2286" w:type="dxa"/>
        </w:tcPr>
        <w:p w14:paraId="4D1D213F" w14:textId="77777777" w:rsidR="008B1A18" w:rsidRPr="0089351F" w:rsidRDefault="008B1A18" w:rsidP="00F338A3">
          <w:pPr>
            <w:jc w:val="right"/>
            <w:rPr>
              <w:sz w:val="20"/>
              <w:szCs w:val="20"/>
            </w:rPr>
          </w:pPr>
          <w:r w:rsidRPr="0089351F">
            <w:rPr>
              <w:sz w:val="20"/>
              <w:szCs w:val="20"/>
            </w:rPr>
            <w:t>www.dedham-ma.gov</w:t>
          </w:r>
        </w:p>
      </w:tc>
    </w:tr>
    <w:tr w:rsidR="008B1A18" w14:paraId="0C544DD6" w14:textId="77777777" w:rsidTr="00F2121F">
      <w:trPr>
        <w:trHeight w:val="288"/>
      </w:trPr>
      <w:tc>
        <w:tcPr>
          <w:tcW w:w="3104" w:type="dxa"/>
        </w:tcPr>
        <w:p w14:paraId="6B5474F1" w14:textId="77777777" w:rsidR="008B1A18" w:rsidRPr="0089351F" w:rsidRDefault="008B1A18" w:rsidP="00F338A3">
          <w:pPr>
            <w:rPr>
              <w:sz w:val="20"/>
              <w:szCs w:val="20"/>
            </w:rPr>
          </w:pPr>
        </w:p>
      </w:tc>
      <w:tc>
        <w:tcPr>
          <w:tcW w:w="4115" w:type="dxa"/>
        </w:tcPr>
        <w:p w14:paraId="22172EE0" w14:textId="77777777" w:rsidR="008B1A18" w:rsidRPr="0089351F" w:rsidRDefault="008B1A18" w:rsidP="00F338A3">
          <w:pPr>
            <w:jc w:val="center"/>
            <w:rPr>
              <w:rFonts w:ascii="Arial Rounded MT Bold" w:hAnsi="Arial Rounded MT Bold"/>
              <w:sz w:val="28"/>
              <w:szCs w:val="28"/>
            </w:rPr>
          </w:pPr>
          <w:r w:rsidRPr="0089351F">
            <w:rPr>
              <w:rFonts w:ascii="Arial Rounded MT Bold" w:hAnsi="Arial Rounded MT Bold"/>
              <w:sz w:val="28"/>
              <w:szCs w:val="28"/>
            </w:rPr>
            <w:t>CONSERVATION</w:t>
          </w:r>
        </w:p>
      </w:tc>
      <w:tc>
        <w:tcPr>
          <w:tcW w:w="2286" w:type="dxa"/>
        </w:tcPr>
        <w:p w14:paraId="6E6DFB73" w14:textId="77777777" w:rsidR="008B1A18" w:rsidRDefault="008B1A18" w:rsidP="00F338A3"/>
      </w:tc>
    </w:tr>
    <w:tr w:rsidR="008B1A18" w14:paraId="015C0090" w14:textId="77777777" w:rsidTr="00F2121F">
      <w:trPr>
        <w:trHeight w:val="288"/>
      </w:trPr>
      <w:tc>
        <w:tcPr>
          <w:tcW w:w="3104" w:type="dxa"/>
        </w:tcPr>
        <w:p w14:paraId="193AC351" w14:textId="77777777" w:rsidR="008B1A18" w:rsidRPr="0089351F" w:rsidRDefault="008B1A18" w:rsidP="00F338A3">
          <w:pPr>
            <w:rPr>
              <w:sz w:val="20"/>
              <w:szCs w:val="20"/>
            </w:rPr>
          </w:pPr>
        </w:p>
      </w:tc>
      <w:tc>
        <w:tcPr>
          <w:tcW w:w="4115" w:type="dxa"/>
        </w:tcPr>
        <w:p w14:paraId="7E63B338" w14:textId="77777777" w:rsidR="008B1A18" w:rsidRPr="0089351F" w:rsidRDefault="008B1A18" w:rsidP="00F338A3">
          <w:pPr>
            <w:jc w:val="center"/>
            <w:rPr>
              <w:rFonts w:ascii="Arial Rounded MT Bold" w:hAnsi="Arial Rounded MT Bold"/>
              <w:sz w:val="28"/>
              <w:szCs w:val="28"/>
            </w:rPr>
          </w:pPr>
          <w:r w:rsidRPr="0089351F">
            <w:rPr>
              <w:rFonts w:ascii="Arial Rounded MT Bold" w:hAnsi="Arial Rounded MT Bold"/>
              <w:sz w:val="28"/>
              <w:szCs w:val="28"/>
            </w:rPr>
            <w:t>COMMISSION</w:t>
          </w:r>
        </w:p>
      </w:tc>
      <w:tc>
        <w:tcPr>
          <w:tcW w:w="2286" w:type="dxa"/>
        </w:tcPr>
        <w:p w14:paraId="51DF5F68" w14:textId="77777777" w:rsidR="008B1A18" w:rsidRDefault="008B1A18" w:rsidP="00F338A3"/>
      </w:tc>
    </w:tr>
  </w:tbl>
  <w:p w14:paraId="418E3761" w14:textId="77777777" w:rsidR="008B1A18" w:rsidRDefault="008B1A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9DC38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BF626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403A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E567B4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F653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44061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6EF5F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BE1F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B09D32"/>
    <w:lvl w:ilvl="0">
      <w:start w:val="1"/>
      <w:numFmt w:val="decimal"/>
      <w:pStyle w:val="ListNumber"/>
      <w:lvlText w:val="%1."/>
      <w:lvlJc w:val="left"/>
      <w:pPr>
        <w:ind w:left="288" w:firstLine="288"/>
      </w:pPr>
      <w:rPr>
        <w:rFonts w:hint="default"/>
      </w:rPr>
    </w:lvl>
  </w:abstractNum>
  <w:abstractNum w:abstractNumId="9" w15:restartNumberingAfterBreak="0">
    <w:nsid w:val="041136E5"/>
    <w:multiLevelType w:val="multilevel"/>
    <w:tmpl w:val="7D6293FE"/>
    <w:lvl w:ilvl="0">
      <w:start w:val="2"/>
      <w:numFmt w:val="decimal"/>
      <w:lvlText w:val="%1"/>
      <w:lvlJc w:val="left"/>
      <w:pPr>
        <w:ind w:left="360" w:hanging="360"/>
      </w:pPr>
      <w:rPr>
        <w:b/>
        <w:u w:val="single"/>
      </w:rPr>
    </w:lvl>
    <w:lvl w:ilvl="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b w:val="0"/>
        <w:bCs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b/>
        <w:u w:val="single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b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b/>
        <w:u w:val="singl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b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b/>
        <w:u w:val="single"/>
      </w:rPr>
    </w:lvl>
  </w:abstractNum>
  <w:abstractNum w:abstractNumId="10" w15:restartNumberingAfterBreak="0">
    <w:nsid w:val="1ADF11AE"/>
    <w:multiLevelType w:val="multilevel"/>
    <w:tmpl w:val="D0E8F2FC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FD025A1"/>
    <w:multiLevelType w:val="hybridMultilevel"/>
    <w:tmpl w:val="7B3E7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5052C"/>
    <w:multiLevelType w:val="hybridMultilevel"/>
    <w:tmpl w:val="F7E831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7A5CF2"/>
    <w:multiLevelType w:val="multilevel"/>
    <w:tmpl w:val="88C0AF46"/>
    <w:lvl w:ilvl="0">
      <w:start w:val="2"/>
      <w:numFmt w:val="decimal"/>
      <w:lvlText w:val="%1"/>
      <w:lvlJc w:val="left"/>
      <w:pPr>
        <w:ind w:left="360" w:hanging="360"/>
      </w:pPr>
      <w:rPr>
        <w:b/>
        <w:u w:val="single"/>
      </w:rPr>
    </w:lvl>
    <w:lvl w:ilvl="1">
      <w:start w:val="2"/>
      <w:numFmt w:val="decimal"/>
      <w:lvlText w:val="%1.%2"/>
      <w:lvlJc w:val="left"/>
      <w:pPr>
        <w:ind w:left="990" w:hanging="360"/>
      </w:pPr>
      <w:rPr>
        <w:b w:val="0"/>
        <w:bCs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b/>
        <w:u w:val="single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b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b/>
        <w:u w:val="singl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b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b/>
        <w:u w:val="single"/>
      </w:rPr>
    </w:lvl>
  </w:abstractNum>
  <w:abstractNum w:abstractNumId="14" w15:restartNumberingAfterBreak="0">
    <w:nsid w:val="386831D9"/>
    <w:multiLevelType w:val="multilevel"/>
    <w:tmpl w:val="AE0C75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  <w:u w:val="single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 w:val="0"/>
        <w:bCs/>
        <w:sz w:val="20"/>
        <w:u w:val="none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  <w:sz w:val="20"/>
        <w:u w:val="single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2520" w:hanging="720"/>
      </w:pPr>
      <w:rPr>
        <w:rFonts w:hint="default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2880" w:hanging="720"/>
      </w:pPr>
      <w:rPr>
        <w:rFonts w:hint="default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3240" w:hanging="720"/>
      </w:pPr>
      <w:rPr>
        <w:rFonts w:hint="default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3960" w:hanging="1080"/>
      </w:pPr>
      <w:rPr>
        <w:rFonts w:hint="default"/>
        <w:sz w:val="20"/>
        <w:u w:val="single"/>
      </w:rPr>
    </w:lvl>
  </w:abstractNum>
  <w:abstractNum w:abstractNumId="15" w15:restartNumberingAfterBreak="0">
    <w:nsid w:val="462F49ED"/>
    <w:multiLevelType w:val="multilevel"/>
    <w:tmpl w:val="B07292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i w:val="0"/>
      </w:rPr>
    </w:lvl>
  </w:abstractNum>
  <w:abstractNum w:abstractNumId="16" w15:restartNumberingAfterBreak="0">
    <w:nsid w:val="5B0B6DEE"/>
    <w:multiLevelType w:val="multilevel"/>
    <w:tmpl w:val="CFA8F55E"/>
    <w:lvl w:ilvl="0">
      <w:start w:val="3"/>
      <w:numFmt w:val="decimal"/>
      <w:lvlText w:val="%1"/>
      <w:lvlJc w:val="left"/>
      <w:pPr>
        <w:ind w:left="360" w:hanging="360"/>
      </w:pPr>
      <w:rPr>
        <w:b/>
        <w:u w:val="singl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b w:val="0"/>
        <w:bCs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  <w:u w:val="singl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/>
        <w:u w:val="single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b/>
        <w:u w:val="singl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/>
        <w:u w:val="single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b/>
        <w:u w:val="singl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b/>
        <w:u w:val="single"/>
      </w:rPr>
    </w:lvl>
  </w:abstractNum>
  <w:abstractNum w:abstractNumId="17" w15:restartNumberingAfterBreak="0">
    <w:nsid w:val="6C780D4C"/>
    <w:multiLevelType w:val="multilevel"/>
    <w:tmpl w:val="075475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0"/>
        <w:u w:val="single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 w:val="0"/>
        <w:bCs/>
        <w:i w:val="0"/>
        <w:iCs w:val="0"/>
        <w:sz w:val="20"/>
        <w:u w:val="none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  <w:sz w:val="20"/>
        <w:u w:val="single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2520" w:hanging="720"/>
      </w:pPr>
      <w:rPr>
        <w:rFonts w:hint="default"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2880" w:hanging="720"/>
      </w:pPr>
      <w:rPr>
        <w:rFonts w:hint="default"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3240" w:hanging="720"/>
      </w:pPr>
      <w:rPr>
        <w:rFonts w:hint="default"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3960" w:hanging="1080"/>
      </w:pPr>
      <w:rPr>
        <w:rFonts w:hint="default"/>
        <w:sz w:val="20"/>
        <w:u w:val="single"/>
      </w:rPr>
    </w:lvl>
  </w:abstractNum>
  <w:abstractNum w:abstractNumId="18" w15:restartNumberingAfterBreak="0">
    <w:nsid w:val="770D74C4"/>
    <w:multiLevelType w:val="hybridMultilevel"/>
    <w:tmpl w:val="CE5E8F64"/>
    <w:lvl w:ilvl="0" w:tplc="A09E3E28">
      <w:start w:val="1"/>
      <w:numFmt w:val="bullet"/>
      <w:pStyle w:val="ListBullet"/>
      <w:lvlText w:val=""/>
      <w:lvlJc w:val="left"/>
      <w:pPr>
        <w:ind w:left="288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B57D1"/>
    <w:multiLevelType w:val="hybridMultilevel"/>
    <w:tmpl w:val="A2FC4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9"/>
  </w:num>
  <w:num w:numId="13">
    <w:abstractNumId w:val="14"/>
  </w:num>
  <w:num w:numId="14">
    <w:abstractNumId w:val="10"/>
  </w:num>
  <w:num w:numId="15">
    <w:abstractNumId w:val="17"/>
  </w:num>
  <w:num w:numId="16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8F7"/>
    <w:rsid w:val="00035C9F"/>
    <w:rsid w:val="000360D6"/>
    <w:rsid w:val="0004542E"/>
    <w:rsid w:val="000627A4"/>
    <w:rsid w:val="000823BD"/>
    <w:rsid w:val="000876C2"/>
    <w:rsid w:val="000A7EFA"/>
    <w:rsid w:val="000B28BE"/>
    <w:rsid w:val="000B5020"/>
    <w:rsid w:val="000B748B"/>
    <w:rsid w:val="000C066E"/>
    <w:rsid w:val="000C398A"/>
    <w:rsid w:val="000C6C4E"/>
    <w:rsid w:val="000D3073"/>
    <w:rsid w:val="000F67D0"/>
    <w:rsid w:val="00114A76"/>
    <w:rsid w:val="00116B6B"/>
    <w:rsid w:val="00123245"/>
    <w:rsid w:val="001339A8"/>
    <w:rsid w:val="00150F6F"/>
    <w:rsid w:val="0015327D"/>
    <w:rsid w:val="00153AF8"/>
    <w:rsid w:val="00166EA1"/>
    <w:rsid w:val="001734E4"/>
    <w:rsid w:val="00173F08"/>
    <w:rsid w:val="00184FFC"/>
    <w:rsid w:val="001B0C84"/>
    <w:rsid w:val="001C0DD8"/>
    <w:rsid w:val="001D309F"/>
    <w:rsid w:val="001E3339"/>
    <w:rsid w:val="001E7E02"/>
    <w:rsid w:val="0020020F"/>
    <w:rsid w:val="00214792"/>
    <w:rsid w:val="002317A0"/>
    <w:rsid w:val="00233349"/>
    <w:rsid w:val="00245061"/>
    <w:rsid w:val="0025091D"/>
    <w:rsid w:val="00256062"/>
    <w:rsid w:val="002652A6"/>
    <w:rsid w:val="0028279C"/>
    <w:rsid w:val="00282B69"/>
    <w:rsid w:val="002850BB"/>
    <w:rsid w:val="00292ADC"/>
    <w:rsid w:val="002A184D"/>
    <w:rsid w:val="002A477F"/>
    <w:rsid w:val="002B1E3D"/>
    <w:rsid w:val="002C1017"/>
    <w:rsid w:val="002C550F"/>
    <w:rsid w:val="002C5D86"/>
    <w:rsid w:val="002C6C42"/>
    <w:rsid w:val="002D1111"/>
    <w:rsid w:val="002D3776"/>
    <w:rsid w:val="002D6614"/>
    <w:rsid w:val="002D7F3F"/>
    <w:rsid w:val="002E3A05"/>
    <w:rsid w:val="002E655C"/>
    <w:rsid w:val="002F3424"/>
    <w:rsid w:val="002F3B20"/>
    <w:rsid w:val="002F783C"/>
    <w:rsid w:val="003074A4"/>
    <w:rsid w:val="00307637"/>
    <w:rsid w:val="00316301"/>
    <w:rsid w:val="00322A51"/>
    <w:rsid w:val="00323CBF"/>
    <w:rsid w:val="00323E17"/>
    <w:rsid w:val="003272E4"/>
    <w:rsid w:val="00334C56"/>
    <w:rsid w:val="00336394"/>
    <w:rsid w:val="003478F6"/>
    <w:rsid w:val="0035648E"/>
    <w:rsid w:val="00366362"/>
    <w:rsid w:val="00370506"/>
    <w:rsid w:val="0037143A"/>
    <w:rsid w:val="00373F6F"/>
    <w:rsid w:val="00373F77"/>
    <w:rsid w:val="00385F37"/>
    <w:rsid w:val="00395BF4"/>
    <w:rsid w:val="00397A94"/>
    <w:rsid w:val="003A5F3E"/>
    <w:rsid w:val="003B0B5E"/>
    <w:rsid w:val="003C03A8"/>
    <w:rsid w:val="003C676F"/>
    <w:rsid w:val="003D15B9"/>
    <w:rsid w:val="003D2DBF"/>
    <w:rsid w:val="003E125A"/>
    <w:rsid w:val="003E5D0F"/>
    <w:rsid w:val="003E7A86"/>
    <w:rsid w:val="003F5D53"/>
    <w:rsid w:val="00410EEF"/>
    <w:rsid w:val="0041587F"/>
    <w:rsid w:val="004235E5"/>
    <w:rsid w:val="00425617"/>
    <w:rsid w:val="0043147D"/>
    <w:rsid w:val="00431E07"/>
    <w:rsid w:val="00440225"/>
    <w:rsid w:val="00444700"/>
    <w:rsid w:val="004501E7"/>
    <w:rsid w:val="00460ACD"/>
    <w:rsid w:val="00463BF1"/>
    <w:rsid w:val="00467D4E"/>
    <w:rsid w:val="00486F4F"/>
    <w:rsid w:val="004870BE"/>
    <w:rsid w:val="00487632"/>
    <w:rsid w:val="00490E5A"/>
    <w:rsid w:val="004944EF"/>
    <w:rsid w:val="004A251A"/>
    <w:rsid w:val="004D262D"/>
    <w:rsid w:val="004D58CA"/>
    <w:rsid w:val="004E261C"/>
    <w:rsid w:val="004E4CDF"/>
    <w:rsid w:val="004E5686"/>
    <w:rsid w:val="004E6842"/>
    <w:rsid w:val="004F0FB8"/>
    <w:rsid w:val="005035B3"/>
    <w:rsid w:val="00510088"/>
    <w:rsid w:val="005207F3"/>
    <w:rsid w:val="005378A6"/>
    <w:rsid w:val="005B78B2"/>
    <w:rsid w:val="005D67B0"/>
    <w:rsid w:val="005E066A"/>
    <w:rsid w:val="005E0CB9"/>
    <w:rsid w:val="005E4520"/>
    <w:rsid w:val="00600491"/>
    <w:rsid w:val="00605CEF"/>
    <w:rsid w:val="006151D7"/>
    <w:rsid w:val="006317B3"/>
    <w:rsid w:val="0063631C"/>
    <w:rsid w:val="0063668C"/>
    <w:rsid w:val="006551BE"/>
    <w:rsid w:val="00674DCF"/>
    <w:rsid w:val="00681ADE"/>
    <w:rsid w:val="00685A69"/>
    <w:rsid w:val="00686538"/>
    <w:rsid w:val="00690908"/>
    <w:rsid w:val="006949D7"/>
    <w:rsid w:val="006A03DE"/>
    <w:rsid w:val="006A34A4"/>
    <w:rsid w:val="006A519A"/>
    <w:rsid w:val="006A65C6"/>
    <w:rsid w:val="006B00B4"/>
    <w:rsid w:val="006B33EB"/>
    <w:rsid w:val="006B3BF3"/>
    <w:rsid w:val="006B5AF4"/>
    <w:rsid w:val="006D023E"/>
    <w:rsid w:val="006E45EC"/>
    <w:rsid w:val="006E6159"/>
    <w:rsid w:val="006F7719"/>
    <w:rsid w:val="00704CE3"/>
    <w:rsid w:val="0070650E"/>
    <w:rsid w:val="007168DE"/>
    <w:rsid w:val="0071706E"/>
    <w:rsid w:val="007232A9"/>
    <w:rsid w:val="00726D51"/>
    <w:rsid w:val="007351E1"/>
    <w:rsid w:val="00740992"/>
    <w:rsid w:val="0074675A"/>
    <w:rsid w:val="00752665"/>
    <w:rsid w:val="00763C2C"/>
    <w:rsid w:val="00771705"/>
    <w:rsid w:val="00784BC7"/>
    <w:rsid w:val="00785553"/>
    <w:rsid w:val="00794C5A"/>
    <w:rsid w:val="00795370"/>
    <w:rsid w:val="007A3413"/>
    <w:rsid w:val="007B095A"/>
    <w:rsid w:val="007B3C49"/>
    <w:rsid w:val="007B47CE"/>
    <w:rsid w:val="007B650C"/>
    <w:rsid w:val="007B7B51"/>
    <w:rsid w:val="007C7C8C"/>
    <w:rsid w:val="007F1155"/>
    <w:rsid w:val="00806F15"/>
    <w:rsid w:val="00836793"/>
    <w:rsid w:val="00840518"/>
    <w:rsid w:val="00840DAB"/>
    <w:rsid w:val="00842EA4"/>
    <w:rsid w:val="00853EA1"/>
    <w:rsid w:val="00857B69"/>
    <w:rsid w:val="008629BB"/>
    <w:rsid w:val="00870171"/>
    <w:rsid w:val="00877CA6"/>
    <w:rsid w:val="00883E20"/>
    <w:rsid w:val="00886A07"/>
    <w:rsid w:val="00886F1C"/>
    <w:rsid w:val="0088764C"/>
    <w:rsid w:val="00893C66"/>
    <w:rsid w:val="00896301"/>
    <w:rsid w:val="00896945"/>
    <w:rsid w:val="00896E58"/>
    <w:rsid w:val="008A251E"/>
    <w:rsid w:val="008B1A18"/>
    <w:rsid w:val="008B6FCD"/>
    <w:rsid w:val="008C13AC"/>
    <w:rsid w:val="008C2054"/>
    <w:rsid w:val="008C4366"/>
    <w:rsid w:val="008C7F59"/>
    <w:rsid w:val="008F1032"/>
    <w:rsid w:val="008F253E"/>
    <w:rsid w:val="009048F7"/>
    <w:rsid w:val="00911F8F"/>
    <w:rsid w:val="00912320"/>
    <w:rsid w:val="00914562"/>
    <w:rsid w:val="009218B9"/>
    <w:rsid w:val="00954BFD"/>
    <w:rsid w:val="00971E20"/>
    <w:rsid w:val="00974751"/>
    <w:rsid w:val="0098228B"/>
    <w:rsid w:val="0098452E"/>
    <w:rsid w:val="00985AD8"/>
    <w:rsid w:val="009912CD"/>
    <w:rsid w:val="009942A5"/>
    <w:rsid w:val="0099533F"/>
    <w:rsid w:val="009971A6"/>
    <w:rsid w:val="009A0947"/>
    <w:rsid w:val="009A14D2"/>
    <w:rsid w:val="009A3C77"/>
    <w:rsid w:val="009A7FA7"/>
    <w:rsid w:val="009B26D4"/>
    <w:rsid w:val="009B384F"/>
    <w:rsid w:val="009C1D6F"/>
    <w:rsid w:val="009C2F83"/>
    <w:rsid w:val="009D1929"/>
    <w:rsid w:val="009D634A"/>
    <w:rsid w:val="009D64BB"/>
    <w:rsid w:val="009E2896"/>
    <w:rsid w:val="009F56B8"/>
    <w:rsid w:val="00A05C04"/>
    <w:rsid w:val="00A10F63"/>
    <w:rsid w:val="00A13986"/>
    <w:rsid w:val="00A17BC4"/>
    <w:rsid w:val="00A27DD8"/>
    <w:rsid w:val="00A312CD"/>
    <w:rsid w:val="00A479AA"/>
    <w:rsid w:val="00A51551"/>
    <w:rsid w:val="00A526D7"/>
    <w:rsid w:val="00A55564"/>
    <w:rsid w:val="00A566F4"/>
    <w:rsid w:val="00A7290C"/>
    <w:rsid w:val="00A749F6"/>
    <w:rsid w:val="00A77C92"/>
    <w:rsid w:val="00A95180"/>
    <w:rsid w:val="00AA201E"/>
    <w:rsid w:val="00AA6EA4"/>
    <w:rsid w:val="00AB105E"/>
    <w:rsid w:val="00AB18B4"/>
    <w:rsid w:val="00AB29BF"/>
    <w:rsid w:val="00AB4D70"/>
    <w:rsid w:val="00AB7CBE"/>
    <w:rsid w:val="00AC4546"/>
    <w:rsid w:val="00AC63E2"/>
    <w:rsid w:val="00AD0B65"/>
    <w:rsid w:val="00AD18A2"/>
    <w:rsid w:val="00AD701F"/>
    <w:rsid w:val="00AE660C"/>
    <w:rsid w:val="00B020FF"/>
    <w:rsid w:val="00B05D03"/>
    <w:rsid w:val="00B1191E"/>
    <w:rsid w:val="00B26BD2"/>
    <w:rsid w:val="00B30D5D"/>
    <w:rsid w:val="00B311A8"/>
    <w:rsid w:val="00B43311"/>
    <w:rsid w:val="00B440C4"/>
    <w:rsid w:val="00B519EB"/>
    <w:rsid w:val="00B53CEF"/>
    <w:rsid w:val="00B6402D"/>
    <w:rsid w:val="00B65CDA"/>
    <w:rsid w:val="00B712B0"/>
    <w:rsid w:val="00B80A8F"/>
    <w:rsid w:val="00B9509A"/>
    <w:rsid w:val="00BA7587"/>
    <w:rsid w:val="00BB232A"/>
    <w:rsid w:val="00BB5A2F"/>
    <w:rsid w:val="00BB7E83"/>
    <w:rsid w:val="00BC2A2D"/>
    <w:rsid w:val="00BC3C63"/>
    <w:rsid w:val="00BC4925"/>
    <w:rsid w:val="00BE59CD"/>
    <w:rsid w:val="00BE79FF"/>
    <w:rsid w:val="00BF2C7B"/>
    <w:rsid w:val="00C03BA1"/>
    <w:rsid w:val="00C15E24"/>
    <w:rsid w:val="00C17BBA"/>
    <w:rsid w:val="00C24D82"/>
    <w:rsid w:val="00C26864"/>
    <w:rsid w:val="00C26B4D"/>
    <w:rsid w:val="00C66F46"/>
    <w:rsid w:val="00C6787E"/>
    <w:rsid w:val="00C73CB1"/>
    <w:rsid w:val="00C756DC"/>
    <w:rsid w:val="00C81502"/>
    <w:rsid w:val="00C81822"/>
    <w:rsid w:val="00C825B5"/>
    <w:rsid w:val="00C97676"/>
    <w:rsid w:val="00C97766"/>
    <w:rsid w:val="00CA5276"/>
    <w:rsid w:val="00CB78BD"/>
    <w:rsid w:val="00CC2CCF"/>
    <w:rsid w:val="00CD1452"/>
    <w:rsid w:val="00CF1D10"/>
    <w:rsid w:val="00CF21D6"/>
    <w:rsid w:val="00D019AD"/>
    <w:rsid w:val="00D024C5"/>
    <w:rsid w:val="00D04E20"/>
    <w:rsid w:val="00D1337C"/>
    <w:rsid w:val="00D1355C"/>
    <w:rsid w:val="00D2486C"/>
    <w:rsid w:val="00D31CBE"/>
    <w:rsid w:val="00D34BB0"/>
    <w:rsid w:val="00D35FA1"/>
    <w:rsid w:val="00D57B1C"/>
    <w:rsid w:val="00D600B7"/>
    <w:rsid w:val="00D634C3"/>
    <w:rsid w:val="00D67AE7"/>
    <w:rsid w:val="00D805AC"/>
    <w:rsid w:val="00DA22C1"/>
    <w:rsid w:val="00DB5350"/>
    <w:rsid w:val="00DB5E37"/>
    <w:rsid w:val="00DB6E7F"/>
    <w:rsid w:val="00DB78E3"/>
    <w:rsid w:val="00DD07C3"/>
    <w:rsid w:val="00DD0BBA"/>
    <w:rsid w:val="00DE14D5"/>
    <w:rsid w:val="00DE5523"/>
    <w:rsid w:val="00DF58AE"/>
    <w:rsid w:val="00E033FD"/>
    <w:rsid w:val="00E05B15"/>
    <w:rsid w:val="00E076D5"/>
    <w:rsid w:val="00E12A4F"/>
    <w:rsid w:val="00E20835"/>
    <w:rsid w:val="00E271BF"/>
    <w:rsid w:val="00E3520C"/>
    <w:rsid w:val="00E46403"/>
    <w:rsid w:val="00E55C0F"/>
    <w:rsid w:val="00E5743D"/>
    <w:rsid w:val="00E75EEB"/>
    <w:rsid w:val="00E90680"/>
    <w:rsid w:val="00EB4F7E"/>
    <w:rsid w:val="00EB6E1D"/>
    <w:rsid w:val="00EB7D52"/>
    <w:rsid w:val="00EE0C75"/>
    <w:rsid w:val="00EE59EC"/>
    <w:rsid w:val="00EE7E86"/>
    <w:rsid w:val="00F01193"/>
    <w:rsid w:val="00F01C78"/>
    <w:rsid w:val="00F1125A"/>
    <w:rsid w:val="00F124D0"/>
    <w:rsid w:val="00F2121F"/>
    <w:rsid w:val="00F338A3"/>
    <w:rsid w:val="00F4047D"/>
    <w:rsid w:val="00F40E3C"/>
    <w:rsid w:val="00F41B1F"/>
    <w:rsid w:val="00F47454"/>
    <w:rsid w:val="00F541B5"/>
    <w:rsid w:val="00F65E8C"/>
    <w:rsid w:val="00F700CE"/>
    <w:rsid w:val="00F71CEB"/>
    <w:rsid w:val="00F7253A"/>
    <w:rsid w:val="00F73CFB"/>
    <w:rsid w:val="00F752EE"/>
    <w:rsid w:val="00F9018E"/>
    <w:rsid w:val="00F920AA"/>
    <w:rsid w:val="00F937B0"/>
    <w:rsid w:val="00FA5470"/>
    <w:rsid w:val="00FA6A94"/>
    <w:rsid w:val="00FB1378"/>
    <w:rsid w:val="00FB253A"/>
    <w:rsid w:val="00FB7825"/>
    <w:rsid w:val="00FC2D5F"/>
    <w:rsid w:val="00FC6208"/>
    <w:rsid w:val="00FC63F0"/>
    <w:rsid w:val="00FE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30384D"/>
  <w15:chartTrackingRefBased/>
  <w15:docId w15:val="{6ADAE869-1D0A-4712-B626-EB636416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uiPriority="1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CA6"/>
  </w:style>
  <w:style w:type="paragraph" w:styleId="Heading1">
    <w:name w:val="heading 1"/>
    <w:basedOn w:val="Normal"/>
    <w:next w:val="Normal"/>
    <w:link w:val="Heading1Char"/>
    <w:uiPriority w:val="9"/>
    <w:qFormat/>
    <w:rsid w:val="005035B3"/>
    <w:pPr>
      <w:keepNext/>
      <w:keepLines/>
      <w:spacing w:before="480" w:after="20"/>
      <w:contextualSpacing/>
      <w:outlineLvl w:val="0"/>
    </w:pPr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20" w:after="20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2"/>
    </w:pPr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20" w:after="20"/>
      <w:contextualSpacing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4"/>
    </w:pPr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20" w:after="20"/>
      <w:contextualSpacing/>
      <w:outlineLvl w:val="5"/>
    </w:pPr>
    <w:rPr>
      <w:rFonts w:asciiTheme="majorHAnsi" w:eastAsiaTheme="majorEastAsia" w:hAnsiTheme="majorHAnsi" w:cstheme="majorBidi"/>
      <w:color w:val="0D0D0D" w:themeColor="text1" w:themeTint="F2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20" w:after="20"/>
      <w:contextualSpacing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7CA6"/>
    <w:pPr>
      <w:keepNext/>
      <w:keepLines/>
      <w:spacing w:before="420" w:after="20"/>
      <w:contextualSpacing/>
      <w:outlineLvl w:val="7"/>
    </w:pPr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20" w:after="20"/>
      <w:contextualSpacing/>
      <w:outlineLvl w:val="8"/>
    </w:pPr>
    <w:rPr>
      <w:rFonts w:asciiTheme="majorHAnsi" w:eastAsiaTheme="majorEastAsia" w:hAnsiTheme="majorHAnsi" w:cstheme="majorBidi"/>
      <w:iCs/>
      <w:color w:val="000000" w:themeColor="tex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sid w:val="005035B3"/>
    <w:rPr>
      <w:rFonts w:asciiTheme="majorHAnsi" w:eastAsiaTheme="majorEastAsia" w:hAnsiTheme="majorHAnsi" w:cstheme="majorBidi"/>
      <w:color w:val="1D665D" w:themeColor="accent1" w:themeShade="BF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62626" w:themeColor="text1" w:themeTint="D9"/>
      <w:sz w:val="34"/>
      <w:szCs w:val="26"/>
    </w:rPr>
  </w:style>
  <w:style w:type="paragraph" w:styleId="ListBullet">
    <w:name w:val="List Bullet"/>
    <w:basedOn w:val="Normal"/>
    <w:uiPriority w:val="13"/>
    <w:qFormat/>
    <w:pPr>
      <w:numPr>
        <w:numId w:val="2"/>
      </w:numPr>
      <w:ind w:left="864" w:hanging="288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77CA6"/>
    <w:rPr>
      <w:rFonts w:asciiTheme="majorHAnsi" w:eastAsiaTheme="majorEastAsia" w:hAnsiTheme="majorHAnsi" w:cstheme="majorBidi"/>
      <w:color w:val="1D665D" w:themeColor="accent1" w:themeShade="B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0D0D0D" w:themeColor="text1" w:themeTint="F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0D0D0D" w:themeColor="text1" w:themeTint="F2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7CA6"/>
    <w:rPr>
      <w:rFonts w:asciiTheme="majorHAnsi" w:eastAsiaTheme="majorEastAsia" w:hAnsiTheme="majorHAnsi" w:cstheme="majorBidi"/>
      <w:i/>
      <w:color w:val="1D665D" w:themeColor="accent1" w:themeShade="BF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000000" w:themeColor="text1"/>
      <w:sz w:val="22"/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595959" w:themeColor="text1" w:themeTint="A6"/>
    </w:rPr>
  </w:style>
  <w:style w:type="paragraph" w:styleId="Title">
    <w:name w:val="Title"/>
    <w:basedOn w:val="Normal"/>
    <w:link w:val="TitleChar"/>
    <w:uiPriority w:val="3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B020FF"/>
    <w:rPr>
      <w:rFonts w:asciiTheme="majorHAnsi" w:eastAsiaTheme="majorEastAsia" w:hAnsiTheme="majorHAnsi" w:cstheme="majorBidi"/>
      <w:color w:val="FFFFFF" w:themeColor="background1"/>
      <w:kern w:val="28"/>
      <w:sz w:val="5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7CA6"/>
    <w:pPr>
      <w:spacing w:before="240"/>
      <w:outlineLvl w:val="9"/>
    </w:pPr>
  </w:style>
  <w:style w:type="paragraph" w:styleId="NoSpacing">
    <w:name w:val="No Spacing"/>
    <w:uiPriority w:val="2"/>
    <w:qFormat/>
    <w:pPr>
      <w:spacing w:after="0" w:line="240" w:lineRule="auto"/>
    </w:pPr>
  </w:style>
  <w:style w:type="paragraph" w:styleId="BlockText">
    <w:name w:val="Block Text"/>
    <w:basedOn w:val="Normal"/>
    <w:uiPriority w:val="12"/>
    <w:qFormat/>
    <w:pPr>
      <w:spacing w:before="60" w:after="0" w:line="250" w:lineRule="auto"/>
      <w:contextualSpacing/>
    </w:pPr>
    <w:rPr>
      <w:rFonts w:eastAsiaTheme="minorEastAsia"/>
      <w:b/>
      <w:iCs/>
    </w:rPr>
  </w:style>
  <w:style w:type="paragraph" w:styleId="ListNumber">
    <w:name w:val="List Number"/>
    <w:basedOn w:val="Normal"/>
    <w:uiPriority w:val="14"/>
    <w:qFormat/>
    <w:pPr>
      <w:numPr>
        <w:numId w:val="1"/>
      </w:numPr>
      <w:ind w:left="864" w:hanging="288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B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35B3"/>
  </w:style>
  <w:style w:type="paragraph" w:styleId="BodyText">
    <w:name w:val="Body Text"/>
    <w:basedOn w:val="Normal"/>
    <w:link w:val="BodyTextChar"/>
    <w:uiPriority w:val="99"/>
    <w:semiHidden/>
    <w:unhideWhenUsed/>
    <w:rsid w:val="005035B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035B3"/>
  </w:style>
  <w:style w:type="paragraph" w:styleId="BodyText2">
    <w:name w:val="Body Text 2"/>
    <w:basedOn w:val="Normal"/>
    <w:link w:val="BodyText2Char"/>
    <w:uiPriority w:val="99"/>
    <w:semiHidden/>
    <w:unhideWhenUsed/>
    <w:rsid w:val="005035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35B3"/>
  </w:style>
  <w:style w:type="paragraph" w:styleId="BodyText3">
    <w:name w:val="Body Text 3"/>
    <w:basedOn w:val="Normal"/>
    <w:link w:val="BodyText3Char"/>
    <w:uiPriority w:val="99"/>
    <w:semiHidden/>
    <w:unhideWhenUsed/>
    <w:rsid w:val="005035B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35B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35B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35B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35B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35B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35B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35B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35B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35B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35B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035B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5035B3"/>
    <w:pPr>
      <w:spacing w:after="200" w:line="240" w:lineRule="auto"/>
    </w:pPr>
    <w:rPr>
      <w:i/>
      <w:iCs/>
      <w:color w:val="21272F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35B3"/>
  </w:style>
  <w:style w:type="table" w:styleId="ColorfulGrid">
    <w:name w:val="Colorful Grid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0EB" w:themeFill="accent1" w:themeFillTint="33"/>
    </w:tcPr>
    <w:tblStylePr w:type="firstRow">
      <w:rPr>
        <w:b/>
        <w:bCs/>
      </w:rPr>
      <w:tblPr/>
      <w:tcPr>
        <w:shd w:val="clear" w:color="auto" w:fill="96E1D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6E1D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D665D" w:themeFill="accent1" w:themeFillShade="BF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FD9" w:themeFill="accent2" w:themeFillTint="33"/>
    </w:tcPr>
    <w:tblStylePr w:type="firstRow">
      <w:rPr>
        <w:b/>
        <w:bCs/>
      </w:rPr>
      <w:tblPr/>
      <w:tcPr>
        <w:shd w:val="clear" w:color="auto" w:fill="C9DF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F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A7F36" w:themeFill="accent2" w:themeFillShade="BF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DB" w:themeFill="accent3" w:themeFillTint="33"/>
    </w:tcPr>
    <w:tblStylePr w:type="firstRow">
      <w:rPr>
        <w:b/>
        <w:bCs/>
      </w:rPr>
      <w:tblPr/>
      <w:tcPr>
        <w:shd w:val="clear" w:color="auto" w:fill="E59D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D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1F40" w:themeFill="accent3" w:themeFillShade="BF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4D4" w:themeFill="accent4" w:themeFillTint="33"/>
    </w:tcPr>
    <w:tblStylePr w:type="firstRow">
      <w:rPr>
        <w:b/>
        <w:bCs/>
      </w:rPr>
      <w:tblPr/>
      <w:tcPr>
        <w:shd w:val="clear" w:color="auto" w:fill="ECAAA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AAA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B2222" w:themeFill="accent4" w:themeFillShade="BF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CD8" w:themeFill="accent5" w:themeFillTint="33"/>
    </w:tcPr>
    <w:tblStylePr w:type="firstRow">
      <w:rPr>
        <w:b/>
        <w:bCs/>
      </w:rPr>
      <w:tblPr/>
      <w:tcPr>
        <w:shd w:val="clear" w:color="auto" w:fill="F4D9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9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07D1A" w:themeFill="accent5" w:themeFillShade="BF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0D2" w:themeFill="accent6" w:themeFillTint="33"/>
    </w:tcPr>
    <w:tblStylePr w:type="firstRow">
      <w:rPr>
        <w:b/>
        <w:bCs/>
      </w:rPr>
      <w:tblPr/>
      <w:tcPr>
        <w:shd w:val="clear" w:color="auto" w:fill="F5C1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1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F4A13" w:themeFill="accent6" w:themeFillShade="BF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7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739" w:themeFill="accent2" w:themeFillShade="CC"/>
      </w:tcPr>
    </w:tblStylePr>
    <w:tblStylePr w:type="lastRow">
      <w:rPr>
        <w:b/>
        <w:bCs/>
        <w:color w:val="60873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6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62424" w:themeFill="accent4" w:themeFillShade="CC"/>
      </w:tcPr>
    </w:tblStylePr>
    <w:tblStylePr w:type="lastRow">
      <w:rPr>
        <w:b/>
        <w:bCs/>
        <w:color w:val="A6242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2144" w:themeFill="accent3" w:themeFillShade="CC"/>
      </w:tcPr>
    </w:tblStylePr>
    <w:tblStylePr w:type="lastRow">
      <w:rPr>
        <w:b/>
        <w:bCs/>
        <w:color w:val="7E214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5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4F14" w:themeFill="accent6" w:themeFillShade="CC"/>
      </w:tcPr>
    </w:tblStylePr>
    <w:tblStylePr w:type="lastRow">
      <w:rPr>
        <w:b/>
        <w:bCs/>
        <w:color w:val="BB4F1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D851B" w:themeFill="accent5" w:themeFillShade="CC"/>
      </w:tcPr>
    </w:tblStylePr>
    <w:tblStylePr w:type="lastRow">
      <w:rPr>
        <w:b/>
        <w:bCs/>
        <w:color w:val="CD85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7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51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514A" w:themeColor="accent1" w:themeShade="99"/>
          <w:insideV w:val="nil"/>
        </w:tcBorders>
        <w:shd w:val="clear" w:color="auto" w:fill="1751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514A" w:themeFill="accent1" w:themeFillShade="99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7DDAC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5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52B" w:themeColor="accent2" w:themeShade="99"/>
          <w:insideV w:val="nil"/>
        </w:tcBorders>
        <w:shd w:val="clear" w:color="auto" w:fill="4865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52B" w:themeFill="accent2" w:themeFillShade="99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BCD7A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2E2E" w:themeColor="accent4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193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1933" w:themeColor="accent3" w:themeShade="99"/>
          <w:insideV w:val="nil"/>
        </w:tcBorders>
        <w:shd w:val="clear" w:color="auto" w:fill="5E193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1933" w:themeFill="accent3" w:themeFillShade="99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2A56" w:themeColor="accent3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1B1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1B1B" w:themeColor="accent4" w:themeShade="99"/>
          <w:insideV w:val="nil"/>
        </w:tcBorders>
        <w:shd w:val="clear" w:color="auto" w:fill="7C1B1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1B1B" w:themeFill="accent4" w:themeFillShade="99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8969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51E" w:themeColor="accent6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5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641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6415" w:themeColor="accent5" w:themeShade="99"/>
          <w:insideV w:val="nil"/>
        </w:tcBorders>
        <w:shd w:val="clear" w:color="auto" w:fill="9A641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6415" w:themeFill="accent5" w:themeFillShade="99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2D0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A23F" w:themeColor="accent5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B0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B0F" w:themeColor="accent6" w:themeShade="99"/>
          <w:insideV w:val="nil"/>
        </w:tcBorders>
        <w:shd w:val="clear" w:color="auto" w:fill="8C3B0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B0F" w:themeFill="accent6" w:themeFillShade="99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2B18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35B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5B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5B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5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5B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3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665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65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F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F3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52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F4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4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7171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222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22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3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7D1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7D1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310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A1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A13" w:themeFill="accent6" w:themeFillShade="BF"/>
      </w:tcPr>
    </w:tblStylePr>
  </w:style>
  <w:style w:type="paragraph" w:styleId="Date">
    <w:name w:val="Date"/>
    <w:basedOn w:val="Normal"/>
    <w:link w:val="DateChar"/>
    <w:uiPriority w:val="1"/>
    <w:unhideWhenUsed/>
    <w:qFormat/>
    <w:rsid w:val="00877CA6"/>
    <w:pPr>
      <w:spacing w:before="120" w:after="120"/>
      <w:contextualSpacing/>
    </w:pPr>
    <w:rPr>
      <w:color w:val="1D665D" w:themeColor="accent1" w:themeShade="BF"/>
      <w:sz w:val="24"/>
    </w:rPr>
  </w:style>
  <w:style w:type="character" w:customStyle="1" w:styleId="DateChar">
    <w:name w:val="Date Char"/>
    <w:basedOn w:val="DefaultParagraphFont"/>
    <w:link w:val="Date"/>
    <w:uiPriority w:val="1"/>
    <w:rsid w:val="00877CA6"/>
    <w:rPr>
      <w:color w:val="1D665D" w:themeColor="accent1" w:themeShade="BF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35B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35B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35B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35B3"/>
  </w:style>
  <w:style w:type="character" w:styleId="Emphasis">
    <w:name w:val="Emphasis"/>
    <w:basedOn w:val="DefaultParagraphFont"/>
    <w:uiPriority w:val="20"/>
    <w:unhideWhenUsed/>
    <w:qFormat/>
    <w:rsid w:val="005035B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35B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35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7CA6"/>
    <w:rPr>
      <w:color w:val="681717" w:themeColor="accent4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035B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35B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35B3"/>
    <w:rPr>
      <w:szCs w:val="20"/>
    </w:rPr>
  </w:style>
  <w:style w:type="table" w:styleId="GridTable1Light">
    <w:name w:val="Grid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96E1D8" w:themeColor="accent1" w:themeTint="66"/>
        <w:left w:val="single" w:sz="4" w:space="0" w:color="96E1D8" w:themeColor="accent1" w:themeTint="66"/>
        <w:bottom w:val="single" w:sz="4" w:space="0" w:color="96E1D8" w:themeColor="accent1" w:themeTint="66"/>
        <w:right w:val="single" w:sz="4" w:space="0" w:color="96E1D8" w:themeColor="accent1" w:themeTint="66"/>
        <w:insideH w:val="single" w:sz="4" w:space="0" w:color="96E1D8" w:themeColor="accent1" w:themeTint="66"/>
        <w:insideV w:val="single" w:sz="4" w:space="0" w:color="96E1D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C9DFB3" w:themeColor="accent2" w:themeTint="66"/>
        <w:left w:val="single" w:sz="4" w:space="0" w:color="C9DFB3" w:themeColor="accent2" w:themeTint="66"/>
        <w:bottom w:val="single" w:sz="4" w:space="0" w:color="C9DFB3" w:themeColor="accent2" w:themeTint="66"/>
        <w:right w:val="single" w:sz="4" w:space="0" w:color="C9DFB3" w:themeColor="accent2" w:themeTint="66"/>
        <w:insideH w:val="single" w:sz="4" w:space="0" w:color="C9DFB3" w:themeColor="accent2" w:themeTint="66"/>
        <w:insideV w:val="single" w:sz="4" w:space="0" w:color="C9DFB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59DB8" w:themeColor="accent3" w:themeTint="66"/>
        <w:left w:val="single" w:sz="4" w:space="0" w:color="E59DB8" w:themeColor="accent3" w:themeTint="66"/>
        <w:bottom w:val="single" w:sz="4" w:space="0" w:color="E59DB8" w:themeColor="accent3" w:themeTint="66"/>
        <w:right w:val="single" w:sz="4" w:space="0" w:color="E59DB8" w:themeColor="accent3" w:themeTint="66"/>
        <w:insideH w:val="single" w:sz="4" w:space="0" w:color="E59DB8" w:themeColor="accent3" w:themeTint="66"/>
        <w:insideV w:val="single" w:sz="4" w:space="0" w:color="E59D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CAAAA" w:themeColor="accent4" w:themeTint="66"/>
        <w:left w:val="single" w:sz="4" w:space="0" w:color="ECAAAA" w:themeColor="accent4" w:themeTint="66"/>
        <w:bottom w:val="single" w:sz="4" w:space="0" w:color="ECAAAA" w:themeColor="accent4" w:themeTint="66"/>
        <w:right w:val="single" w:sz="4" w:space="0" w:color="ECAAAA" w:themeColor="accent4" w:themeTint="66"/>
        <w:insideH w:val="single" w:sz="4" w:space="0" w:color="ECAAAA" w:themeColor="accent4" w:themeTint="66"/>
        <w:insideV w:val="single" w:sz="4" w:space="0" w:color="ECAAA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4D9B2" w:themeColor="accent5" w:themeTint="66"/>
        <w:left w:val="single" w:sz="4" w:space="0" w:color="F4D9B2" w:themeColor="accent5" w:themeTint="66"/>
        <w:bottom w:val="single" w:sz="4" w:space="0" w:color="F4D9B2" w:themeColor="accent5" w:themeTint="66"/>
        <w:right w:val="single" w:sz="4" w:space="0" w:color="F4D9B2" w:themeColor="accent5" w:themeTint="66"/>
        <w:insideH w:val="single" w:sz="4" w:space="0" w:color="F4D9B2" w:themeColor="accent5" w:themeTint="66"/>
        <w:insideV w:val="single" w:sz="4" w:space="0" w:color="F4D9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5C1A5" w:themeColor="accent6" w:themeTint="66"/>
        <w:left w:val="single" w:sz="4" w:space="0" w:color="F5C1A5" w:themeColor="accent6" w:themeTint="66"/>
        <w:bottom w:val="single" w:sz="4" w:space="0" w:color="F5C1A5" w:themeColor="accent6" w:themeTint="66"/>
        <w:right w:val="single" w:sz="4" w:space="0" w:color="F5C1A5" w:themeColor="accent6" w:themeTint="66"/>
        <w:insideH w:val="single" w:sz="4" w:space="0" w:color="F5C1A5" w:themeColor="accent6" w:themeTint="66"/>
        <w:insideV w:val="single" w:sz="4" w:space="0" w:color="F5C1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62D2C4" w:themeColor="accent1" w:themeTint="99"/>
        <w:bottom w:val="single" w:sz="2" w:space="0" w:color="62D2C4" w:themeColor="accent1" w:themeTint="99"/>
        <w:insideH w:val="single" w:sz="2" w:space="0" w:color="62D2C4" w:themeColor="accent1" w:themeTint="99"/>
        <w:insideV w:val="single" w:sz="2" w:space="0" w:color="62D2C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2D2C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D2C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AECF8D" w:themeColor="accent2" w:themeTint="99"/>
        <w:bottom w:val="single" w:sz="2" w:space="0" w:color="AECF8D" w:themeColor="accent2" w:themeTint="99"/>
        <w:insideH w:val="single" w:sz="2" w:space="0" w:color="AECF8D" w:themeColor="accent2" w:themeTint="99"/>
        <w:insideV w:val="single" w:sz="2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F8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F8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D86C94" w:themeColor="accent3" w:themeTint="99"/>
        <w:bottom w:val="single" w:sz="2" w:space="0" w:color="D86C94" w:themeColor="accent3" w:themeTint="99"/>
        <w:insideH w:val="single" w:sz="2" w:space="0" w:color="D86C94" w:themeColor="accent3" w:themeTint="99"/>
        <w:insideV w:val="single" w:sz="2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C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C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E38181" w:themeColor="accent4" w:themeTint="99"/>
        <w:bottom w:val="single" w:sz="2" w:space="0" w:color="E38181" w:themeColor="accent4" w:themeTint="99"/>
        <w:insideH w:val="single" w:sz="2" w:space="0" w:color="E38181" w:themeColor="accent4" w:themeTint="99"/>
        <w:insideV w:val="single" w:sz="2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818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18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EFC78B" w:themeColor="accent5" w:themeTint="99"/>
        <w:bottom w:val="single" w:sz="2" w:space="0" w:color="EFC78B" w:themeColor="accent5" w:themeTint="99"/>
        <w:insideH w:val="single" w:sz="2" w:space="0" w:color="EFC78B" w:themeColor="accent5" w:themeTint="99"/>
        <w:insideV w:val="single" w:sz="2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C7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C7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2" w:space="0" w:color="F0A278" w:themeColor="accent6" w:themeTint="99"/>
        <w:bottom w:val="single" w:sz="2" w:space="0" w:color="F0A278" w:themeColor="accent6" w:themeTint="99"/>
        <w:insideH w:val="single" w:sz="2" w:space="0" w:color="F0A278" w:themeColor="accent6" w:themeTint="99"/>
        <w:insideV w:val="single" w:sz="2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2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2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GridTable3">
    <w:name w:val="Grid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897D" w:themeFill="accent1"/>
      </w:tcPr>
    </w:tblStylePr>
    <w:tblStylePr w:type="band1Vert">
      <w:tblPr/>
      <w:tcPr>
        <w:shd w:val="clear" w:color="auto" w:fill="96E1D8" w:themeFill="accent1" w:themeFillTint="66"/>
      </w:tcPr>
    </w:tblStylePr>
    <w:tblStylePr w:type="band1Horz">
      <w:tblPr/>
      <w:tcPr>
        <w:shd w:val="clear" w:color="auto" w:fill="96E1D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F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A48" w:themeFill="accent2"/>
      </w:tcPr>
    </w:tblStylePr>
    <w:tblStylePr w:type="band1Vert">
      <w:tblPr/>
      <w:tcPr>
        <w:shd w:val="clear" w:color="auto" w:fill="C9DFB3" w:themeFill="accent2" w:themeFillTint="66"/>
      </w:tcPr>
    </w:tblStylePr>
    <w:tblStylePr w:type="band1Horz">
      <w:tblPr/>
      <w:tcPr>
        <w:shd w:val="clear" w:color="auto" w:fill="C9DFB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2A56" w:themeFill="accent3"/>
      </w:tcPr>
    </w:tblStylePr>
    <w:tblStylePr w:type="band1Vert">
      <w:tblPr/>
      <w:tcPr>
        <w:shd w:val="clear" w:color="auto" w:fill="E59DB8" w:themeFill="accent3" w:themeFillTint="66"/>
      </w:tcPr>
    </w:tblStylePr>
    <w:tblStylePr w:type="band1Horz">
      <w:tblPr/>
      <w:tcPr>
        <w:shd w:val="clear" w:color="auto" w:fill="E59DB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4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2E2E" w:themeFill="accent4"/>
      </w:tcPr>
    </w:tblStylePr>
    <w:tblStylePr w:type="band1Vert">
      <w:tblPr/>
      <w:tcPr>
        <w:shd w:val="clear" w:color="auto" w:fill="ECAAAA" w:themeFill="accent4" w:themeFillTint="66"/>
      </w:tcPr>
    </w:tblStylePr>
    <w:tblStylePr w:type="band1Horz">
      <w:tblPr/>
      <w:tcPr>
        <w:shd w:val="clear" w:color="auto" w:fill="ECAAA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A23F" w:themeFill="accent5"/>
      </w:tcPr>
    </w:tblStylePr>
    <w:tblStylePr w:type="band1Vert">
      <w:tblPr/>
      <w:tcPr>
        <w:shd w:val="clear" w:color="auto" w:fill="F4D9B2" w:themeFill="accent5" w:themeFillTint="66"/>
      </w:tcPr>
    </w:tblStylePr>
    <w:tblStylePr w:type="band1Horz">
      <w:tblPr/>
      <w:tcPr>
        <w:shd w:val="clear" w:color="auto" w:fill="F4D9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0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51E" w:themeFill="accent6"/>
      </w:tcPr>
    </w:tblStylePr>
    <w:tblStylePr w:type="band1Vert">
      <w:tblPr/>
      <w:tcPr>
        <w:shd w:val="clear" w:color="auto" w:fill="F5C1A5" w:themeFill="accent6" w:themeFillTint="66"/>
      </w:tcPr>
    </w:tblStylePr>
    <w:tblStylePr w:type="band1Horz">
      <w:tblPr/>
      <w:tcPr>
        <w:shd w:val="clear" w:color="auto" w:fill="F5C1A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  <w:insideV w:val="single" w:sz="4" w:space="0" w:color="62D2C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bottom w:val="single" w:sz="4" w:space="0" w:color="62D2C4" w:themeColor="accent1" w:themeTint="99"/>
        </w:tcBorders>
      </w:tcPr>
    </w:tblStylePr>
    <w:tblStylePr w:type="nwCell">
      <w:tblPr/>
      <w:tcPr>
        <w:tcBorders>
          <w:bottom w:val="single" w:sz="4" w:space="0" w:color="62D2C4" w:themeColor="accent1" w:themeTint="99"/>
        </w:tcBorders>
      </w:tcPr>
    </w:tblStylePr>
    <w:tblStylePr w:type="seCell">
      <w:tblPr/>
      <w:tcPr>
        <w:tcBorders>
          <w:top w:val="single" w:sz="4" w:space="0" w:color="62D2C4" w:themeColor="accent1" w:themeTint="99"/>
        </w:tcBorders>
      </w:tcPr>
    </w:tblStylePr>
    <w:tblStylePr w:type="swCell">
      <w:tblPr/>
      <w:tcPr>
        <w:tcBorders>
          <w:top w:val="single" w:sz="4" w:space="0" w:color="62D2C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  <w:insideV w:val="single" w:sz="4" w:space="0" w:color="AECF8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bottom w:val="single" w:sz="4" w:space="0" w:color="AECF8D" w:themeColor="accent2" w:themeTint="99"/>
        </w:tcBorders>
      </w:tcPr>
    </w:tblStylePr>
    <w:tblStylePr w:type="nwCell">
      <w:tblPr/>
      <w:tcPr>
        <w:tcBorders>
          <w:bottom w:val="single" w:sz="4" w:space="0" w:color="AECF8D" w:themeColor="accent2" w:themeTint="99"/>
        </w:tcBorders>
      </w:tcPr>
    </w:tblStylePr>
    <w:tblStylePr w:type="seCell">
      <w:tblPr/>
      <w:tcPr>
        <w:tcBorders>
          <w:top w:val="single" w:sz="4" w:space="0" w:color="AECF8D" w:themeColor="accent2" w:themeTint="99"/>
        </w:tcBorders>
      </w:tcPr>
    </w:tblStylePr>
    <w:tblStylePr w:type="swCell">
      <w:tblPr/>
      <w:tcPr>
        <w:tcBorders>
          <w:top w:val="single" w:sz="4" w:space="0" w:color="AECF8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  <w:insideV w:val="single" w:sz="4" w:space="0" w:color="D86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bottom w:val="single" w:sz="4" w:space="0" w:color="D86C94" w:themeColor="accent3" w:themeTint="99"/>
        </w:tcBorders>
      </w:tcPr>
    </w:tblStylePr>
    <w:tblStylePr w:type="nwCell">
      <w:tblPr/>
      <w:tcPr>
        <w:tcBorders>
          <w:bottom w:val="single" w:sz="4" w:space="0" w:color="D86C94" w:themeColor="accent3" w:themeTint="99"/>
        </w:tcBorders>
      </w:tcPr>
    </w:tblStylePr>
    <w:tblStylePr w:type="seCell">
      <w:tblPr/>
      <w:tcPr>
        <w:tcBorders>
          <w:top w:val="single" w:sz="4" w:space="0" w:color="D86C94" w:themeColor="accent3" w:themeTint="99"/>
        </w:tcBorders>
      </w:tcPr>
    </w:tblStylePr>
    <w:tblStylePr w:type="swCell">
      <w:tblPr/>
      <w:tcPr>
        <w:tcBorders>
          <w:top w:val="single" w:sz="4" w:space="0" w:color="D86C9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  <w:insideV w:val="single" w:sz="4" w:space="0" w:color="E3818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bottom w:val="single" w:sz="4" w:space="0" w:color="E38181" w:themeColor="accent4" w:themeTint="99"/>
        </w:tcBorders>
      </w:tcPr>
    </w:tblStylePr>
    <w:tblStylePr w:type="nwCell">
      <w:tblPr/>
      <w:tcPr>
        <w:tcBorders>
          <w:bottom w:val="single" w:sz="4" w:space="0" w:color="E38181" w:themeColor="accent4" w:themeTint="99"/>
        </w:tcBorders>
      </w:tcPr>
    </w:tblStylePr>
    <w:tblStylePr w:type="seCell">
      <w:tblPr/>
      <w:tcPr>
        <w:tcBorders>
          <w:top w:val="single" w:sz="4" w:space="0" w:color="E38181" w:themeColor="accent4" w:themeTint="99"/>
        </w:tcBorders>
      </w:tcPr>
    </w:tblStylePr>
    <w:tblStylePr w:type="swCell">
      <w:tblPr/>
      <w:tcPr>
        <w:tcBorders>
          <w:top w:val="single" w:sz="4" w:space="0" w:color="E3818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  <w:insideV w:val="single" w:sz="4" w:space="0" w:color="EFC7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bottom w:val="single" w:sz="4" w:space="0" w:color="EFC78B" w:themeColor="accent5" w:themeTint="99"/>
        </w:tcBorders>
      </w:tcPr>
    </w:tblStylePr>
    <w:tblStylePr w:type="nwCell">
      <w:tblPr/>
      <w:tcPr>
        <w:tcBorders>
          <w:bottom w:val="single" w:sz="4" w:space="0" w:color="EFC78B" w:themeColor="accent5" w:themeTint="99"/>
        </w:tcBorders>
      </w:tcPr>
    </w:tblStylePr>
    <w:tblStylePr w:type="seCell">
      <w:tblPr/>
      <w:tcPr>
        <w:tcBorders>
          <w:top w:val="single" w:sz="4" w:space="0" w:color="EFC78B" w:themeColor="accent5" w:themeTint="99"/>
        </w:tcBorders>
      </w:tcPr>
    </w:tblStylePr>
    <w:tblStylePr w:type="swCell">
      <w:tblPr/>
      <w:tcPr>
        <w:tcBorders>
          <w:top w:val="single" w:sz="4" w:space="0" w:color="EFC7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  <w:insideV w:val="single" w:sz="4" w:space="0" w:color="F0A2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bottom w:val="single" w:sz="4" w:space="0" w:color="F0A278" w:themeColor="accent6" w:themeTint="99"/>
        </w:tcBorders>
      </w:tcPr>
    </w:tblStylePr>
    <w:tblStylePr w:type="nwCell">
      <w:tblPr/>
      <w:tcPr>
        <w:tcBorders>
          <w:bottom w:val="single" w:sz="4" w:space="0" w:color="F0A278" w:themeColor="accent6" w:themeTint="99"/>
        </w:tcBorders>
      </w:tcPr>
    </w:tblStylePr>
    <w:tblStylePr w:type="seCell">
      <w:tblPr/>
      <w:tcPr>
        <w:tcBorders>
          <w:top w:val="single" w:sz="4" w:space="0" w:color="F0A278" w:themeColor="accent6" w:themeTint="99"/>
        </w:tcBorders>
      </w:tcPr>
    </w:tblStylePr>
    <w:tblStylePr w:type="swCell">
      <w:tblPr/>
      <w:tcPr>
        <w:tcBorders>
          <w:top w:val="single" w:sz="4" w:space="0" w:color="F0A278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035B3"/>
  </w:style>
  <w:style w:type="paragraph" w:styleId="HTMLAddress">
    <w:name w:val="HTML Address"/>
    <w:basedOn w:val="Normal"/>
    <w:link w:val="HTMLAddressChar"/>
    <w:uiPriority w:val="99"/>
    <w:semiHidden/>
    <w:unhideWhenUsed/>
    <w:rsid w:val="005035B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35B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035B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035B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5B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035B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035B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035B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77CA6"/>
    <w:rPr>
      <w:color w:val="1D665D" w:themeColor="accent1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35B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35B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77CA6"/>
    <w:rPr>
      <w:i/>
      <w:iCs/>
      <w:color w:val="1D665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77CA6"/>
    <w:pPr>
      <w:pBdr>
        <w:top w:val="single" w:sz="4" w:space="10" w:color="1D665D" w:themeColor="accent1" w:themeShade="BF"/>
        <w:bottom w:val="single" w:sz="4" w:space="10" w:color="1D665D" w:themeColor="accent1" w:themeShade="BF"/>
      </w:pBdr>
      <w:spacing w:before="360" w:after="360"/>
      <w:ind w:left="864" w:right="864"/>
      <w:jc w:val="center"/>
    </w:pPr>
    <w:rPr>
      <w:i/>
      <w:iCs/>
      <w:color w:val="1D665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77CA6"/>
    <w:rPr>
      <w:i/>
      <w:iCs/>
      <w:color w:val="1D665D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77CA6"/>
    <w:rPr>
      <w:b/>
      <w:bCs/>
      <w:caps w:val="0"/>
      <w:smallCaps/>
      <w:color w:val="1D665D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1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H w:val="nil"/>
          <w:insideV w:val="single" w:sz="8" w:space="0" w:color="27897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  <w:shd w:val="clear" w:color="auto" w:fill="BEECE6" w:themeFill="accent1" w:themeFillTint="3F"/>
      </w:tcPr>
    </w:tblStylePr>
    <w:tblStylePr w:type="band2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  <w:insideV w:val="single" w:sz="8" w:space="0" w:color="27897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1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H w:val="nil"/>
          <w:insideV w:val="single" w:sz="8" w:space="0" w:color="79AA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  <w:shd w:val="clear" w:color="auto" w:fill="DDEBD0" w:themeFill="accent2" w:themeFillTint="3F"/>
      </w:tcPr>
    </w:tblStylePr>
    <w:tblStylePr w:type="band2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  <w:insideV w:val="single" w:sz="8" w:space="0" w:color="79AA4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1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H w:val="nil"/>
          <w:insideV w:val="single" w:sz="8" w:space="0" w:color="9E2A5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  <w:shd w:val="clear" w:color="auto" w:fill="EFC2D3" w:themeFill="accent3" w:themeFillTint="3F"/>
      </w:tcPr>
    </w:tblStylePr>
    <w:tblStylePr w:type="band2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  <w:insideV w:val="single" w:sz="8" w:space="0" w:color="9E2A5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1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H w:val="nil"/>
          <w:insideV w:val="single" w:sz="8" w:space="0" w:color="D02E2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  <w:shd w:val="clear" w:color="auto" w:fill="F3CBCB" w:themeFill="accent4" w:themeFillTint="3F"/>
      </w:tcPr>
    </w:tblStylePr>
    <w:tblStylePr w:type="band2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  <w:insideV w:val="single" w:sz="8" w:space="0" w:color="D02E2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1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H w:val="nil"/>
          <w:insideV w:val="single" w:sz="8" w:space="0" w:color="E5A2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  <w:shd w:val="clear" w:color="auto" w:fill="F8E7CF" w:themeFill="accent5" w:themeFillTint="3F"/>
      </w:tcPr>
    </w:tblStylePr>
    <w:tblStylePr w:type="band2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  <w:insideV w:val="single" w:sz="8" w:space="0" w:color="E5A2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1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H w:val="nil"/>
          <w:insideV w:val="single" w:sz="8" w:space="0" w:color="E6651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  <w:shd w:val="clear" w:color="auto" w:fill="F8D8C7" w:themeFill="accent6" w:themeFillTint="3F"/>
      </w:tcPr>
    </w:tblStylePr>
    <w:tblStylePr w:type="band2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  <w:insideV w:val="single" w:sz="8" w:space="0" w:color="E6651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  <w:tblStylePr w:type="band1Horz">
      <w:tblPr/>
      <w:tcPr>
        <w:tcBorders>
          <w:top w:val="single" w:sz="8" w:space="0" w:color="27897D" w:themeColor="accent1"/>
          <w:left w:val="single" w:sz="8" w:space="0" w:color="27897D" w:themeColor="accent1"/>
          <w:bottom w:val="single" w:sz="8" w:space="0" w:color="27897D" w:themeColor="accent1"/>
          <w:right w:val="single" w:sz="8" w:space="0" w:color="27897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  <w:tblStylePr w:type="band1Horz">
      <w:tblPr/>
      <w:tcPr>
        <w:tcBorders>
          <w:top w:val="single" w:sz="8" w:space="0" w:color="79AA48" w:themeColor="accent2"/>
          <w:left w:val="single" w:sz="8" w:space="0" w:color="79AA48" w:themeColor="accent2"/>
          <w:bottom w:val="single" w:sz="8" w:space="0" w:color="79AA48" w:themeColor="accent2"/>
          <w:right w:val="single" w:sz="8" w:space="0" w:color="79AA4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  <w:tblStylePr w:type="band1Horz">
      <w:tblPr/>
      <w:tcPr>
        <w:tcBorders>
          <w:top w:val="single" w:sz="8" w:space="0" w:color="9E2A56" w:themeColor="accent3"/>
          <w:left w:val="single" w:sz="8" w:space="0" w:color="9E2A56" w:themeColor="accent3"/>
          <w:bottom w:val="single" w:sz="8" w:space="0" w:color="9E2A56" w:themeColor="accent3"/>
          <w:right w:val="single" w:sz="8" w:space="0" w:color="9E2A5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  <w:tblStylePr w:type="band1Horz">
      <w:tblPr/>
      <w:tcPr>
        <w:tcBorders>
          <w:top w:val="single" w:sz="8" w:space="0" w:color="D02E2E" w:themeColor="accent4"/>
          <w:left w:val="single" w:sz="8" w:space="0" w:color="D02E2E" w:themeColor="accent4"/>
          <w:bottom w:val="single" w:sz="8" w:space="0" w:color="D02E2E" w:themeColor="accent4"/>
          <w:right w:val="single" w:sz="8" w:space="0" w:color="D02E2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  <w:tblStylePr w:type="band1Horz">
      <w:tblPr/>
      <w:tcPr>
        <w:tcBorders>
          <w:top w:val="single" w:sz="8" w:space="0" w:color="E5A23F" w:themeColor="accent5"/>
          <w:left w:val="single" w:sz="8" w:space="0" w:color="E5A23F" w:themeColor="accent5"/>
          <w:bottom w:val="single" w:sz="8" w:space="0" w:color="E5A23F" w:themeColor="accent5"/>
          <w:right w:val="single" w:sz="8" w:space="0" w:color="E5A2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  <w:tblStylePr w:type="band1Horz">
      <w:tblPr/>
      <w:tcPr>
        <w:tcBorders>
          <w:top w:val="single" w:sz="8" w:space="0" w:color="E6651E" w:themeColor="accent6"/>
          <w:left w:val="single" w:sz="8" w:space="0" w:color="E6651E" w:themeColor="accent6"/>
          <w:bottom w:val="single" w:sz="8" w:space="0" w:color="E6651E" w:themeColor="accent6"/>
          <w:right w:val="single" w:sz="8" w:space="0" w:color="E6651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035B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8" w:space="0" w:color="27897D" w:themeColor="accent1"/>
        <w:bottom w:val="single" w:sz="8" w:space="0" w:color="27897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897D" w:themeColor="accent1"/>
          <w:left w:val="nil"/>
          <w:bottom w:val="single" w:sz="8" w:space="0" w:color="27897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8" w:space="0" w:color="79AA48" w:themeColor="accent2"/>
        <w:bottom w:val="single" w:sz="8" w:space="0" w:color="79AA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A48" w:themeColor="accent2"/>
          <w:left w:val="nil"/>
          <w:bottom w:val="single" w:sz="8" w:space="0" w:color="79AA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8" w:space="0" w:color="9E2A56" w:themeColor="accent3"/>
        <w:bottom w:val="single" w:sz="8" w:space="0" w:color="9E2A5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2A56" w:themeColor="accent3"/>
          <w:left w:val="nil"/>
          <w:bottom w:val="single" w:sz="8" w:space="0" w:color="9E2A5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8" w:space="0" w:color="D02E2E" w:themeColor="accent4"/>
        <w:bottom w:val="single" w:sz="8" w:space="0" w:color="D02E2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2E2E" w:themeColor="accent4"/>
          <w:left w:val="nil"/>
          <w:bottom w:val="single" w:sz="8" w:space="0" w:color="D02E2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8" w:space="0" w:color="E5A23F" w:themeColor="accent5"/>
        <w:bottom w:val="single" w:sz="8" w:space="0" w:color="E5A2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A23F" w:themeColor="accent5"/>
          <w:left w:val="nil"/>
          <w:bottom w:val="single" w:sz="8" w:space="0" w:color="E5A2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8" w:space="0" w:color="E6651E" w:themeColor="accent6"/>
        <w:bottom w:val="single" w:sz="8" w:space="0" w:color="E6651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51E" w:themeColor="accent6"/>
          <w:left w:val="nil"/>
          <w:bottom w:val="single" w:sz="8" w:space="0" w:color="E6651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035B3"/>
  </w:style>
  <w:style w:type="paragraph" w:styleId="List">
    <w:name w:val="List"/>
    <w:basedOn w:val="Normal"/>
    <w:uiPriority w:val="99"/>
    <w:semiHidden/>
    <w:unhideWhenUsed/>
    <w:rsid w:val="005035B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35B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35B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35B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35B3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5035B3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35B3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35B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35B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35B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35B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35B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35B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35B3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5035B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35B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35B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35B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035B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2D2C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F8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818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C7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2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2">
    <w:name w:val="List Table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bottom w:val="single" w:sz="4" w:space="0" w:color="62D2C4" w:themeColor="accent1" w:themeTint="99"/>
        <w:insideH w:val="single" w:sz="4" w:space="0" w:color="62D2C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bottom w:val="single" w:sz="4" w:space="0" w:color="AECF8D" w:themeColor="accent2" w:themeTint="99"/>
        <w:insideH w:val="single" w:sz="4" w:space="0" w:color="AECF8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bottom w:val="single" w:sz="4" w:space="0" w:color="D86C94" w:themeColor="accent3" w:themeTint="99"/>
        <w:insideH w:val="single" w:sz="4" w:space="0" w:color="D86C9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bottom w:val="single" w:sz="4" w:space="0" w:color="E38181" w:themeColor="accent4" w:themeTint="99"/>
        <w:insideH w:val="single" w:sz="4" w:space="0" w:color="E3818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bottom w:val="single" w:sz="4" w:space="0" w:color="EFC78B" w:themeColor="accent5" w:themeTint="99"/>
        <w:insideH w:val="single" w:sz="4" w:space="0" w:color="EFC7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bottom w:val="single" w:sz="4" w:space="0" w:color="F0A278" w:themeColor="accent6" w:themeTint="99"/>
        <w:insideH w:val="single" w:sz="4" w:space="0" w:color="F0A2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3">
    <w:name w:val="List Table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27897D" w:themeColor="accent1"/>
        <w:left w:val="single" w:sz="4" w:space="0" w:color="27897D" w:themeColor="accent1"/>
        <w:bottom w:val="single" w:sz="4" w:space="0" w:color="27897D" w:themeColor="accent1"/>
        <w:right w:val="single" w:sz="4" w:space="0" w:color="27897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897D" w:themeColor="accent1"/>
          <w:right w:val="single" w:sz="4" w:space="0" w:color="27897D" w:themeColor="accent1"/>
        </w:tcBorders>
      </w:tcPr>
    </w:tblStylePr>
    <w:tblStylePr w:type="band1Horz">
      <w:tblPr/>
      <w:tcPr>
        <w:tcBorders>
          <w:top w:val="single" w:sz="4" w:space="0" w:color="27897D" w:themeColor="accent1"/>
          <w:bottom w:val="single" w:sz="4" w:space="0" w:color="27897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897D" w:themeColor="accent1"/>
          <w:left w:val="nil"/>
        </w:tcBorders>
      </w:tcPr>
    </w:tblStylePr>
    <w:tblStylePr w:type="swCell">
      <w:tblPr/>
      <w:tcPr>
        <w:tcBorders>
          <w:top w:val="double" w:sz="4" w:space="0" w:color="27897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79AA48" w:themeColor="accent2"/>
        <w:left w:val="single" w:sz="4" w:space="0" w:color="79AA48" w:themeColor="accent2"/>
        <w:bottom w:val="single" w:sz="4" w:space="0" w:color="79AA48" w:themeColor="accent2"/>
        <w:right w:val="single" w:sz="4" w:space="0" w:color="79AA4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A48" w:themeColor="accent2"/>
          <w:right w:val="single" w:sz="4" w:space="0" w:color="79AA48" w:themeColor="accent2"/>
        </w:tcBorders>
      </w:tcPr>
    </w:tblStylePr>
    <w:tblStylePr w:type="band1Horz">
      <w:tblPr/>
      <w:tcPr>
        <w:tcBorders>
          <w:top w:val="single" w:sz="4" w:space="0" w:color="79AA48" w:themeColor="accent2"/>
          <w:bottom w:val="single" w:sz="4" w:space="0" w:color="79AA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A48" w:themeColor="accent2"/>
          <w:left w:val="nil"/>
        </w:tcBorders>
      </w:tcPr>
    </w:tblStylePr>
    <w:tblStylePr w:type="swCell">
      <w:tblPr/>
      <w:tcPr>
        <w:tcBorders>
          <w:top w:val="double" w:sz="4" w:space="0" w:color="79AA4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9E2A56" w:themeColor="accent3"/>
        <w:left w:val="single" w:sz="4" w:space="0" w:color="9E2A56" w:themeColor="accent3"/>
        <w:bottom w:val="single" w:sz="4" w:space="0" w:color="9E2A56" w:themeColor="accent3"/>
        <w:right w:val="single" w:sz="4" w:space="0" w:color="9E2A5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2A56" w:themeColor="accent3"/>
          <w:right w:val="single" w:sz="4" w:space="0" w:color="9E2A56" w:themeColor="accent3"/>
        </w:tcBorders>
      </w:tcPr>
    </w:tblStylePr>
    <w:tblStylePr w:type="band1Horz">
      <w:tblPr/>
      <w:tcPr>
        <w:tcBorders>
          <w:top w:val="single" w:sz="4" w:space="0" w:color="9E2A56" w:themeColor="accent3"/>
          <w:bottom w:val="single" w:sz="4" w:space="0" w:color="9E2A5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2A56" w:themeColor="accent3"/>
          <w:left w:val="nil"/>
        </w:tcBorders>
      </w:tcPr>
    </w:tblStylePr>
    <w:tblStylePr w:type="swCell">
      <w:tblPr/>
      <w:tcPr>
        <w:tcBorders>
          <w:top w:val="double" w:sz="4" w:space="0" w:color="9E2A5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02E2E" w:themeColor="accent4"/>
        <w:left w:val="single" w:sz="4" w:space="0" w:color="D02E2E" w:themeColor="accent4"/>
        <w:bottom w:val="single" w:sz="4" w:space="0" w:color="D02E2E" w:themeColor="accent4"/>
        <w:right w:val="single" w:sz="4" w:space="0" w:color="D02E2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2E2E" w:themeColor="accent4"/>
          <w:right w:val="single" w:sz="4" w:space="0" w:color="D02E2E" w:themeColor="accent4"/>
        </w:tcBorders>
      </w:tcPr>
    </w:tblStylePr>
    <w:tblStylePr w:type="band1Horz">
      <w:tblPr/>
      <w:tcPr>
        <w:tcBorders>
          <w:top w:val="single" w:sz="4" w:space="0" w:color="D02E2E" w:themeColor="accent4"/>
          <w:bottom w:val="single" w:sz="4" w:space="0" w:color="D02E2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2E2E" w:themeColor="accent4"/>
          <w:left w:val="nil"/>
        </w:tcBorders>
      </w:tcPr>
    </w:tblStylePr>
    <w:tblStylePr w:type="swCell">
      <w:tblPr/>
      <w:tcPr>
        <w:tcBorders>
          <w:top w:val="double" w:sz="4" w:space="0" w:color="D02E2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5A23F" w:themeColor="accent5"/>
        <w:left w:val="single" w:sz="4" w:space="0" w:color="E5A23F" w:themeColor="accent5"/>
        <w:bottom w:val="single" w:sz="4" w:space="0" w:color="E5A23F" w:themeColor="accent5"/>
        <w:right w:val="single" w:sz="4" w:space="0" w:color="E5A2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A23F" w:themeColor="accent5"/>
          <w:right w:val="single" w:sz="4" w:space="0" w:color="E5A23F" w:themeColor="accent5"/>
        </w:tcBorders>
      </w:tcPr>
    </w:tblStylePr>
    <w:tblStylePr w:type="band1Horz">
      <w:tblPr/>
      <w:tcPr>
        <w:tcBorders>
          <w:top w:val="single" w:sz="4" w:space="0" w:color="E5A23F" w:themeColor="accent5"/>
          <w:bottom w:val="single" w:sz="4" w:space="0" w:color="E5A2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A23F" w:themeColor="accent5"/>
          <w:left w:val="nil"/>
        </w:tcBorders>
      </w:tcPr>
    </w:tblStylePr>
    <w:tblStylePr w:type="swCell">
      <w:tblPr/>
      <w:tcPr>
        <w:tcBorders>
          <w:top w:val="double" w:sz="4" w:space="0" w:color="E5A2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6651E" w:themeColor="accent6"/>
        <w:left w:val="single" w:sz="4" w:space="0" w:color="E6651E" w:themeColor="accent6"/>
        <w:bottom w:val="single" w:sz="4" w:space="0" w:color="E6651E" w:themeColor="accent6"/>
        <w:right w:val="single" w:sz="4" w:space="0" w:color="E6651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51E" w:themeColor="accent6"/>
          <w:right w:val="single" w:sz="4" w:space="0" w:color="E6651E" w:themeColor="accent6"/>
        </w:tcBorders>
      </w:tcPr>
    </w:tblStylePr>
    <w:tblStylePr w:type="band1Horz">
      <w:tblPr/>
      <w:tcPr>
        <w:tcBorders>
          <w:top w:val="single" w:sz="4" w:space="0" w:color="E6651E" w:themeColor="accent6"/>
          <w:bottom w:val="single" w:sz="4" w:space="0" w:color="E6651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51E" w:themeColor="accent6"/>
          <w:left w:val="nil"/>
        </w:tcBorders>
      </w:tcPr>
    </w:tblStylePr>
    <w:tblStylePr w:type="swCell">
      <w:tblPr/>
      <w:tcPr>
        <w:tcBorders>
          <w:top w:val="double" w:sz="4" w:space="0" w:color="E6651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62D2C4" w:themeColor="accent1" w:themeTint="99"/>
        <w:left w:val="single" w:sz="4" w:space="0" w:color="62D2C4" w:themeColor="accent1" w:themeTint="99"/>
        <w:bottom w:val="single" w:sz="4" w:space="0" w:color="62D2C4" w:themeColor="accent1" w:themeTint="99"/>
        <w:right w:val="single" w:sz="4" w:space="0" w:color="62D2C4" w:themeColor="accent1" w:themeTint="99"/>
        <w:insideH w:val="single" w:sz="4" w:space="0" w:color="62D2C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97D" w:themeColor="accent1"/>
          <w:left w:val="single" w:sz="4" w:space="0" w:color="27897D" w:themeColor="accent1"/>
          <w:bottom w:val="single" w:sz="4" w:space="0" w:color="27897D" w:themeColor="accent1"/>
          <w:right w:val="single" w:sz="4" w:space="0" w:color="27897D" w:themeColor="accent1"/>
          <w:insideH w:val="nil"/>
        </w:tcBorders>
        <w:shd w:val="clear" w:color="auto" w:fill="27897D" w:themeFill="accent1"/>
      </w:tcPr>
    </w:tblStylePr>
    <w:tblStylePr w:type="lastRow">
      <w:rPr>
        <w:b/>
        <w:bCs/>
      </w:rPr>
      <w:tblPr/>
      <w:tcPr>
        <w:tcBorders>
          <w:top w:val="double" w:sz="4" w:space="0" w:color="62D2C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AECF8D" w:themeColor="accent2" w:themeTint="99"/>
        <w:left w:val="single" w:sz="4" w:space="0" w:color="AECF8D" w:themeColor="accent2" w:themeTint="99"/>
        <w:bottom w:val="single" w:sz="4" w:space="0" w:color="AECF8D" w:themeColor="accent2" w:themeTint="99"/>
        <w:right w:val="single" w:sz="4" w:space="0" w:color="AECF8D" w:themeColor="accent2" w:themeTint="99"/>
        <w:insideH w:val="single" w:sz="4" w:space="0" w:color="AECF8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A48" w:themeColor="accent2"/>
          <w:left w:val="single" w:sz="4" w:space="0" w:color="79AA48" w:themeColor="accent2"/>
          <w:bottom w:val="single" w:sz="4" w:space="0" w:color="79AA48" w:themeColor="accent2"/>
          <w:right w:val="single" w:sz="4" w:space="0" w:color="79AA48" w:themeColor="accent2"/>
          <w:insideH w:val="nil"/>
        </w:tcBorders>
        <w:shd w:val="clear" w:color="auto" w:fill="79AA48" w:themeFill="accent2"/>
      </w:tcPr>
    </w:tblStylePr>
    <w:tblStylePr w:type="lastRow">
      <w:rPr>
        <w:b/>
        <w:bCs/>
      </w:rPr>
      <w:tblPr/>
      <w:tcPr>
        <w:tcBorders>
          <w:top w:val="double" w:sz="4" w:space="0" w:color="AECF8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D86C94" w:themeColor="accent3" w:themeTint="99"/>
        <w:left w:val="single" w:sz="4" w:space="0" w:color="D86C94" w:themeColor="accent3" w:themeTint="99"/>
        <w:bottom w:val="single" w:sz="4" w:space="0" w:color="D86C94" w:themeColor="accent3" w:themeTint="99"/>
        <w:right w:val="single" w:sz="4" w:space="0" w:color="D86C94" w:themeColor="accent3" w:themeTint="99"/>
        <w:insideH w:val="single" w:sz="4" w:space="0" w:color="D86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2A56" w:themeColor="accent3"/>
          <w:left w:val="single" w:sz="4" w:space="0" w:color="9E2A56" w:themeColor="accent3"/>
          <w:bottom w:val="single" w:sz="4" w:space="0" w:color="9E2A56" w:themeColor="accent3"/>
          <w:right w:val="single" w:sz="4" w:space="0" w:color="9E2A56" w:themeColor="accent3"/>
          <w:insideH w:val="nil"/>
        </w:tcBorders>
        <w:shd w:val="clear" w:color="auto" w:fill="9E2A56" w:themeFill="accent3"/>
      </w:tcPr>
    </w:tblStylePr>
    <w:tblStylePr w:type="lastRow">
      <w:rPr>
        <w:b/>
        <w:bCs/>
      </w:rPr>
      <w:tblPr/>
      <w:tcPr>
        <w:tcBorders>
          <w:top w:val="double" w:sz="4" w:space="0" w:color="D86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38181" w:themeColor="accent4" w:themeTint="99"/>
        <w:left w:val="single" w:sz="4" w:space="0" w:color="E38181" w:themeColor="accent4" w:themeTint="99"/>
        <w:bottom w:val="single" w:sz="4" w:space="0" w:color="E38181" w:themeColor="accent4" w:themeTint="99"/>
        <w:right w:val="single" w:sz="4" w:space="0" w:color="E38181" w:themeColor="accent4" w:themeTint="99"/>
        <w:insideH w:val="single" w:sz="4" w:space="0" w:color="E3818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2E2E" w:themeColor="accent4"/>
          <w:left w:val="single" w:sz="4" w:space="0" w:color="D02E2E" w:themeColor="accent4"/>
          <w:bottom w:val="single" w:sz="4" w:space="0" w:color="D02E2E" w:themeColor="accent4"/>
          <w:right w:val="single" w:sz="4" w:space="0" w:color="D02E2E" w:themeColor="accent4"/>
          <w:insideH w:val="nil"/>
        </w:tcBorders>
        <w:shd w:val="clear" w:color="auto" w:fill="D02E2E" w:themeFill="accent4"/>
      </w:tcPr>
    </w:tblStylePr>
    <w:tblStylePr w:type="lastRow">
      <w:rPr>
        <w:b/>
        <w:bCs/>
      </w:rPr>
      <w:tblPr/>
      <w:tcPr>
        <w:tcBorders>
          <w:top w:val="double" w:sz="4" w:space="0" w:color="E3818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EFC78B" w:themeColor="accent5" w:themeTint="99"/>
        <w:left w:val="single" w:sz="4" w:space="0" w:color="EFC78B" w:themeColor="accent5" w:themeTint="99"/>
        <w:bottom w:val="single" w:sz="4" w:space="0" w:color="EFC78B" w:themeColor="accent5" w:themeTint="99"/>
        <w:right w:val="single" w:sz="4" w:space="0" w:color="EFC78B" w:themeColor="accent5" w:themeTint="99"/>
        <w:insideH w:val="single" w:sz="4" w:space="0" w:color="EFC7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A23F" w:themeColor="accent5"/>
          <w:left w:val="single" w:sz="4" w:space="0" w:color="E5A23F" w:themeColor="accent5"/>
          <w:bottom w:val="single" w:sz="4" w:space="0" w:color="E5A23F" w:themeColor="accent5"/>
          <w:right w:val="single" w:sz="4" w:space="0" w:color="E5A23F" w:themeColor="accent5"/>
          <w:insideH w:val="nil"/>
        </w:tcBorders>
        <w:shd w:val="clear" w:color="auto" w:fill="E5A23F" w:themeFill="accent5"/>
      </w:tcPr>
    </w:tblStylePr>
    <w:tblStylePr w:type="lastRow">
      <w:rPr>
        <w:b/>
        <w:bCs/>
      </w:rPr>
      <w:tblPr/>
      <w:tcPr>
        <w:tcBorders>
          <w:top w:val="double" w:sz="4" w:space="0" w:color="EFC7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F0A278" w:themeColor="accent6" w:themeTint="99"/>
        <w:left w:val="single" w:sz="4" w:space="0" w:color="F0A278" w:themeColor="accent6" w:themeTint="99"/>
        <w:bottom w:val="single" w:sz="4" w:space="0" w:color="F0A278" w:themeColor="accent6" w:themeTint="99"/>
        <w:right w:val="single" w:sz="4" w:space="0" w:color="F0A278" w:themeColor="accent6" w:themeTint="99"/>
        <w:insideH w:val="single" w:sz="4" w:space="0" w:color="F0A2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51E" w:themeColor="accent6"/>
          <w:left w:val="single" w:sz="4" w:space="0" w:color="E6651E" w:themeColor="accent6"/>
          <w:bottom w:val="single" w:sz="4" w:space="0" w:color="E6651E" w:themeColor="accent6"/>
          <w:right w:val="single" w:sz="4" w:space="0" w:color="E6651E" w:themeColor="accent6"/>
          <w:insideH w:val="nil"/>
        </w:tcBorders>
        <w:shd w:val="clear" w:color="auto" w:fill="E6651E" w:themeFill="accent6"/>
      </w:tcPr>
    </w:tblStylePr>
    <w:tblStylePr w:type="lastRow">
      <w:rPr>
        <w:b/>
        <w:bCs/>
      </w:rPr>
      <w:tblPr/>
      <w:tcPr>
        <w:tcBorders>
          <w:top w:val="double" w:sz="4" w:space="0" w:color="F0A2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897D" w:themeColor="accent1"/>
        <w:left w:val="single" w:sz="24" w:space="0" w:color="27897D" w:themeColor="accent1"/>
        <w:bottom w:val="single" w:sz="24" w:space="0" w:color="27897D" w:themeColor="accent1"/>
        <w:right w:val="single" w:sz="24" w:space="0" w:color="27897D" w:themeColor="accent1"/>
      </w:tblBorders>
    </w:tblPr>
    <w:tcPr>
      <w:shd w:val="clear" w:color="auto" w:fill="27897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A48" w:themeColor="accent2"/>
        <w:left w:val="single" w:sz="24" w:space="0" w:color="79AA48" w:themeColor="accent2"/>
        <w:bottom w:val="single" w:sz="24" w:space="0" w:color="79AA48" w:themeColor="accent2"/>
        <w:right w:val="single" w:sz="24" w:space="0" w:color="79AA48" w:themeColor="accent2"/>
      </w:tblBorders>
    </w:tblPr>
    <w:tcPr>
      <w:shd w:val="clear" w:color="auto" w:fill="79AA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2A56" w:themeColor="accent3"/>
        <w:left w:val="single" w:sz="24" w:space="0" w:color="9E2A56" w:themeColor="accent3"/>
        <w:bottom w:val="single" w:sz="24" w:space="0" w:color="9E2A56" w:themeColor="accent3"/>
        <w:right w:val="single" w:sz="24" w:space="0" w:color="9E2A56" w:themeColor="accent3"/>
      </w:tblBorders>
    </w:tblPr>
    <w:tcPr>
      <w:shd w:val="clear" w:color="auto" w:fill="9E2A5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2E2E" w:themeColor="accent4"/>
        <w:left w:val="single" w:sz="24" w:space="0" w:color="D02E2E" w:themeColor="accent4"/>
        <w:bottom w:val="single" w:sz="24" w:space="0" w:color="D02E2E" w:themeColor="accent4"/>
        <w:right w:val="single" w:sz="24" w:space="0" w:color="D02E2E" w:themeColor="accent4"/>
      </w:tblBorders>
    </w:tblPr>
    <w:tcPr>
      <w:shd w:val="clear" w:color="auto" w:fill="D02E2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A23F" w:themeColor="accent5"/>
        <w:left w:val="single" w:sz="24" w:space="0" w:color="E5A23F" w:themeColor="accent5"/>
        <w:bottom w:val="single" w:sz="24" w:space="0" w:color="E5A23F" w:themeColor="accent5"/>
        <w:right w:val="single" w:sz="24" w:space="0" w:color="E5A23F" w:themeColor="accent5"/>
      </w:tblBorders>
    </w:tblPr>
    <w:tcPr>
      <w:shd w:val="clear" w:color="auto" w:fill="E5A2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035B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51E" w:themeColor="accent6"/>
        <w:left w:val="single" w:sz="24" w:space="0" w:color="E6651E" w:themeColor="accent6"/>
        <w:bottom w:val="single" w:sz="24" w:space="0" w:color="E6651E" w:themeColor="accent6"/>
        <w:right w:val="single" w:sz="24" w:space="0" w:color="E6651E" w:themeColor="accent6"/>
      </w:tblBorders>
    </w:tblPr>
    <w:tcPr>
      <w:shd w:val="clear" w:color="auto" w:fill="E6651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  <w:tblBorders>
        <w:top w:val="single" w:sz="4" w:space="0" w:color="27897D" w:themeColor="accent1"/>
        <w:bottom w:val="single" w:sz="4" w:space="0" w:color="27897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7897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  <w:tblBorders>
        <w:top w:val="single" w:sz="4" w:space="0" w:color="79AA48" w:themeColor="accent2"/>
        <w:bottom w:val="single" w:sz="4" w:space="0" w:color="79AA4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9AA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  <w:tblBorders>
        <w:top w:val="single" w:sz="4" w:space="0" w:color="9E2A56" w:themeColor="accent3"/>
        <w:bottom w:val="single" w:sz="4" w:space="0" w:color="9E2A5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E2A5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  <w:tblBorders>
        <w:top w:val="single" w:sz="4" w:space="0" w:color="D02E2E" w:themeColor="accent4"/>
        <w:bottom w:val="single" w:sz="4" w:space="0" w:color="D02E2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2E2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  <w:tblBorders>
        <w:top w:val="single" w:sz="4" w:space="0" w:color="E5A23F" w:themeColor="accent5"/>
        <w:bottom w:val="single" w:sz="4" w:space="0" w:color="E5A2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5A2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  <w:tblBorders>
        <w:top w:val="single" w:sz="4" w:space="0" w:color="E6651E" w:themeColor="accent6"/>
        <w:bottom w:val="single" w:sz="4" w:space="0" w:color="E6651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6651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035B3"/>
    <w:pPr>
      <w:spacing w:after="0" w:line="240" w:lineRule="auto"/>
    </w:pPr>
    <w:rPr>
      <w:color w:val="1D665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897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897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897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897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AF0EB" w:themeFill="accent1" w:themeFillTint="33"/>
      </w:tcPr>
    </w:tblStylePr>
    <w:tblStylePr w:type="band1Horz">
      <w:tblPr/>
      <w:tcPr>
        <w:shd w:val="clear" w:color="auto" w:fill="CAF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035B3"/>
    <w:pPr>
      <w:spacing w:after="0" w:line="240" w:lineRule="auto"/>
    </w:pPr>
    <w:rPr>
      <w:color w:val="5A7F3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A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A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A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A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EFD9" w:themeFill="accent2" w:themeFillTint="33"/>
      </w:tcPr>
    </w:tblStylePr>
    <w:tblStylePr w:type="band1Horz">
      <w:tblPr/>
      <w:tcPr>
        <w:shd w:val="clear" w:color="auto" w:fill="E4EFD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035B3"/>
    <w:pPr>
      <w:spacing w:after="0" w:line="240" w:lineRule="auto"/>
    </w:pPr>
    <w:rPr>
      <w:color w:val="761F4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2A5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2A5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2A5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2A5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CEDB" w:themeFill="accent3" w:themeFillTint="33"/>
      </w:tcPr>
    </w:tblStylePr>
    <w:tblStylePr w:type="band1Horz">
      <w:tblPr/>
      <w:tcPr>
        <w:shd w:val="clear" w:color="auto" w:fill="F2CE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035B3"/>
    <w:pPr>
      <w:spacing w:after="0" w:line="240" w:lineRule="auto"/>
    </w:pPr>
    <w:rPr>
      <w:color w:val="9B22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2E2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2E2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2E2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2E2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4D4" w:themeFill="accent4" w:themeFillTint="33"/>
      </w:tcPr>
    </w:tblStylePr>
    <w:tblStylePr w:type="band1Horz">
      <w:tblPr/>
      <w:tcPr>
        <w:shd w:val="clear" w:color="auto" w:fill="F5D4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035B3"/>
    <w:pPr>
      <w:spacing w:after="0" w:line="240" w:lineRule="auto"/>
    </w:pPr>
    <w:rPr>
      <w:color w:val="C07D1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A2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A2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A2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A2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ECD8" w:themeFill="accent5" w:themeFillTint="33"/>
      </w:tcPr>
    </w:tblStylePr>
    <w:tblStylePr w:type="band1Horz">
      <w:tblPr/>
      <w:tcPr>
        <w:shd w:val="clear" w:color="auto" w:fill="F9EC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035B3"/>
    <w:pPr>
      <w:spacing w:after="0" w:line="240" w:lineRule="auto"/>
    </w:pPr>
    <w:rPr>
      <w:color w:val="AF4A1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51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51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51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51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0D2" w:themeFill="accent6" w:themeFillTint="33"/>
      </w:tcPr>
    </w:tblStylePr>
    <w:tblStylePr w:type="band1Horz">
      <w:tblPr/>
      <w:tcPr>
        <w:shd w:val="clear" w:color="auto" w:fill="FAE0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035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35B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  <w:insideV w:val="single" w:sz="8" w:space="0" w:color="3CC7B6" w:themeColor="accent1" w:themeTint="BF"/>
      </w:tblBorders>
    </w:tblPr>
    <w:tcPr>
      <w:shd w:val="clear" w:color="auto" w:fill="BEEC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7B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shd w:val="clear" w:color="auto" w:fill="7DDAC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  <w:insideV w:val="single" w:sz="8" w:space="0" w:color="9AC371" w:themeColor="accent2" w:themeTint="BF"/>
      </w:tblBorders>
    </w:tblPr>
    <w:tcPr>
      <w:shd w:val="clear" w:color="auto" w:fill="DDEB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C37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shd w:val="clear" w:color="auto" w:fill="BCD7A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  <w:insideV w:val="single" w:sz="8" w:space="0" w:color="CE477A" w:themeColor="accent3" w:themeTint="BF"/>
      </w:tblBorders>
    </w:tblPr>
    <w:tcPr>
      <w:shd w:val="clear" w:color="auto" w:fill="EFC2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7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shd w:val="clear" w:color="auto" w:fill="DE84A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  <w:insideV w:val="single" w:sz="8" w:space="0" w:color="DC6161" w:themeColor="accent4" w:themeTint="BF"/>
      </w:tblBorders>
    </w:tblPr>
    <w:tcPr>
      <w:shd w:val="clear" w:color="auto" w:fill="F3CB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616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shd w:val="clear" w:color="auto" w:fill="E8969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  <w:insideV w:val="single" w:sz="8" w:space="0" w:color="EBB96F" w:themeColor="accent5" w:themeTint="BF"/>
      </w:tblBorders>
    </w:tblPr>
    <w:tcPr>
      <w:shd w:val="clear" w:color="auto" w:fill="F8E7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B96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shd w:val="clear" w:color="auto" w:fill="F2D0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  <w:insideV w:val="single" w:sz="8" w:space="0" w:color="EC8B56" w:themeColor="accent6" w:themeTint="BF"/>
      </w:tblBorders>
    </w:tblPr>
    <w:tcPr>
      <w:shd w:val="clear" w:color="auto" w:fill="F8D8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8B5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shd w:val="clear" w:color="auto" w:fill="F2B18E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  <w:insideH w:val="single" w:sz="8" w:space="0" w:color="27897D" w:themeColor="accent1"/>
        <w:insideV w:val="single" w:sz="8" w:space="0" w:color="27897D" w:themeColor="accent1"/>
      </w:tblBorders>
    </w:tblPr>
    <w:tcPr>
      <w:shd w:val="clear" w:color="auto" w:fill="BEEC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5F7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0EB" w:themeFill="accent1" w:themeFillTint="33"/>
      </w:tcPr>
    </w:tblStylePr>
    <w:tblStylePr w:type="band1Vert">
      <w:tblPr/>
      <w:tcPr>
        <w:shd w:val="clear" w:color="auto" w:fill="7DDACE" w:themeFill="accent1" w:themeFillTint="7F"/>
      </w:tcPr>
    </w:tblStylePr>
    <w:tblStylePr w:type="band1Horz">
      <w:tblPr/>
      <w:tcPr>
        <w:tcBorders>
          <w:insideH w:val="single" w:sz="6" w:space="0" w:color="27897D" w:themeColor="accent1"/>
          <w:insideV w:val="single" w:sz="6" w:space="0" w:color="27897D" w:themeColor="accent1"/>
        </w:tcBorders>
        <w:shd w:val="clear" w:color="auto" w:fill="7DDAC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  <w:insideH w:val="single" w:sz="8" w:space="0" w:color="79AA48" w:themeColor="accent2"/>
        <w:insideV w:val="single" w:sz="8" w:space="0" w:color="79AA48" w:themeColor="accent2"/>
      </w:tblBorders>
    </w:tblPr>
    <w:tcPr>
      <w:shd w:val="clear" w:color="auto" w:fill="DDEB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FD9" w:themeFill="accent2" w:themeFillTint="33"/>
      </w:tcPr>
    </w:tblStylePr>
    <w:tblStylePr w:type="band1Vert">
      <w:tblPr/>
      <w:tcPr>
        <w:shd w:val="clear" w:color="auto" w:fill="BCD7A1" w:themeFill="accent2" w:themeFillTint="7F"/>
      </w:tcPr>
    </w:tblStylePr>
    <w:tblStylePr w:type="band1Horz">
      <w:tblPr/>
      <w:tcPr>
        <w:tcBorders>
          <w:insideH w:val="single" w:sz="6" w:space="0" w:color="79AA48" w:themeColor="accent2"/>
          <w:insideV w:val="single" w:sz="6" w:space="0" w:color="79AA48" w:themeColor="accent2"/>
        </w:tcBorders>
        <w:shd w:val="clear" w:color="auto" w:fill="BCD7A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  <w:insideH w:val="single" w:sz="8" w:space="0" w:color="9E2A56" w:themeColor="accent3"/>
        <w:insideV w:val="single" w:sz="8" w:space="0" w:color="9E2A56" w:themeColor="accent3"/>
      </w:tblBorders>
    </w:tblPr>
    <w:tcPr>
      <w:shd w:val="clear" w:color="auto" w:fill="EFC2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DB" w:themeFill="accent3" w:themeFillTint="33"/>
      </w:tcPr>
    </w:tblStylePr>
    <w:tblStylePr w:type="band1Vert">
      <w:tblPr/>
      <w:tcPr>
        <w:shd w:val="clear" w:color="auto" w:fill="DE84A6" w:themeFill="accent3" w:themeFillTint="7F"/>
      </w:tcPr>
    </w:tblStylePr>
    <w:tblStylePr w:type="band1Horz">
      <w:tblPr/>
      <w:tcPr>
        <w:tcBorders>
          <w:insideH w:val="single" w:sz="6" w:space="0" w:color="9E2A56" w:themeColor="accent3"/>
          <w:insideV w:val="single" w:sz="6" w:space="0" w:color="9E2A56" w:themeColor="accent3"/>
        </w:tcBorders>
        <w:shd w:val="clear" w:color="auto" w:fill="DE84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  <w:insideH w:val="single" w:sz="8" w:space="0" w:color="D02E2E" w:themeColor="accent4"/>
        <w:insideV w:val="single" w:sz="8" w:space="0" w:color="D02E2E" w:themeColor="accent4"/>
      </w:tblBorders>
    </w:tblPr>
    <w:tcPr>
      <w:shd w:val="clear" w:color="auto" w:fill="F3CB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D4" w:themeFill="accent4" w:themeFillTint="33"/>
      </w:tcPr>
    </w:tblStylePr>
    <w:tblStylePr w:type="band1Vert">
      <w:tblPr/>
      <w:tcPr>
        <w:shd w:val="clear" w:color="auto" w:fill="E89696" w:themeFill="accent4" w:themeFillTint="7F"/>
      </w:tcPr>
    </w:tblStylePr>
    <w:tblStylePr w:type="band1Horz">
      <w:tblPr/>
      <w:tcPr>
        <w:tcBorders>
          <w:insideH w:val="single" w:sz="6" w:space="0" w:color="D02E2E" w:themeColor="accent4"/>
          <w:insideV w:val="single" w:sz="6" w:space="0" w:color="D02E2E" w:themeColor="accent4"/>
        </w:tcBorders>
        <w:shd w:val="clear" w:color="auto" w:fill="E8969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  <w:insideH w:val="single" w:sz="8" w:space="0" w:color="E5A23F" w:themeColor="accent5"/>
        <w:insideV w:val="single" w:sz="8" w:space="0" w:color="E5A23F" w:themeColor="accent5"/>
      </w:tblBorders>
    </w:tblPr>
    <w:tcPr>
      <w:shd w:val="clear" w:color="auto" w:fill="F8E7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5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CD8" w:themeFill="accent5" w:themeFillTint="33"/>
      </w:tcPr>
    </w:tblStylePr>
    <w:tblStylePr w:type="band1Vert">
      <w:tblPr/>
      <w:tcPr>
        <w:shd w:val="clear" w:color="auto" w:fill="F2D09F" w:themeFill="accent5" w:themeFillTint="7F"/>
      </w:tcPr>
    </w:tblStylePr>
    <w:tblStylePr w:type="band1Horz">
      <w:tblPr/>
      <w:tcPr>
        <w:tcBorders>
          <w:insideH w:val="single" w:sz="6" w:space="0" w:color="E5A23F" w:themeColor="accent5"/>
          <w:insideV w:val="single" w:sz="6" w:space="0" w:color="E5A23F" w:themeColor="accent5"/>
        </w:tcBorders>
        <w:shd w:val="clear" w:color="auto" w:fill="F2D0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  <w:insideH w:val="single" w:sz="8" w:space="0" w:color="E6651E" w:themeColor="accent6"/>
        <w:insideV w:val="single" w:sz="8" w:space="0" w:color="E6651E" w:themeColor="accent6"/>
      </w:tblBorders>
    </w:tblPr>
    <w:tcPr>
      <w:shd w:val="clear" w:color="auto" w:fill="F8D8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D2" w:themeFill="accent6" w:themeFillTint="33"/>
      </w:tcPr>
    </w:tblStylePr>
    <w:tblStylePr w:type="band1Vert">
      <w:tblPr/>
      <w:tcPr>
        <w:shd w:val="clear" w:color="auto" w:fill="F2B18E" w:themeFill="accent6" w:themeFillTint="7F"/>
      </w:tcPr>
    </w:tblStylePr>
    <w:tblStylePr w:type="band1Horz">
      <w:tblPr/>
      <w:tcPr>
        <w:tcBorders>
          <w:insideH w:val="single" w:sz="6" w:space="0" w:color="E6651E" w:themeColor="accent6"/>
          <w:insideV w:val="single" w:sz="6" w:space="0" w:color="E6651E" w:themeColor="accent6"/>
        </w:tcBorders>
        <w:shd w:val="clear" w:color="auto" w:fill="F2B18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C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897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AC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AC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B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A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7A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7A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2A5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4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4A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CB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2E2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69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69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7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A2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D0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D0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8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51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18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18E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897D" w:themeColor="accent1"/>
        <w:bottom w:val="single" w:sz="8" w:space="0" w:color="27897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897D" w:themeColor="accent1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897D" w:themeColor="accent1"/>
          <w:bottom w:val="single" w:sz="8" w:space="0" w:color="27897D" w:themeColor="accent1"/>
        </w:tcBorders>
      </w:tc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shd w:val="clear" w:color="auto" w:fill="BEEC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bottom w:val="single" w:sz="8" w:space="0" w:color="79AA4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A48" w:themeColor="accent2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A48" w:themeColor="accent2"/>
          <w:bottom w:val="single" w:sz="8" w:space="0" w:color="79AA48" w:themeColor="accent2"/>
        </w:tcBorders>
      </w:tc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shd w:val="clear" w:color="auto" w:fill="DDEBD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bottom w:val="single" w:sz="8" w:space="0" w:color="9E2A5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2A56" w:themeColor="accent3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2A56" w:themeColor="accent3"/>
          <w:bottom w:val="single" w:sz="8" w:space="0" w:color="9E2A56" w:themeColor="accent3"/>
        </w:tcBorders>
      </w:tc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shd w:val="clear" w:color="auto" w:fill="EFC2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bottom w:val="single" w:sz="8" w:space="0" w:color="D02E2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2E2E" w:themeColor="accent4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2E2E" w:themeColor="accent4"/>
          <w:bottom w:val="single" w:sz="8" w:space="0" w:color="D02E2E" w:themeColor="accent4"/>
        </w:tcBorders>
      </w:tc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shd w:val="clear" w:color="auto" w:fill="F3CB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bottom w:val="single" w:sz="8" w:space="0" w:color="E5A2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A23F" w:themeColor="accent5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A23F" w:themeColor="accent5"/>
          <w:bottom w:val="single" w:sz="8" w:space="0" w:color="E5A23F" w:themeColor="accent5"/>
        </w:tcBorders>
      </w:tc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shd w:val="clear" w:color="auto" w:fill="F8E7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035B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bottom w:val="single" w:sz="8" w:space="0" w:color="E6651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51E" w:themeColor="accent6"/>
        </w:tcBorders>
      </w:tcPr>
    </w:tblStylePr>
    <w:tblStylePr w:type="lastRow">
      <w:rPr>
        <w:b/>
        <w:bCs/>
        <w:color w:val="21272F" w:themeColor="text2"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51E" w:themeColor="accent6"/>
          <w:bottom w:val="single" w:sz="8" w:space="0" w:color="E6651E" w:themeColor="accent6"/>
        </w:tcBorders>
      </w:tc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shd w:val="clear" w:color="auto" w:fill="F8D8C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897D" w:themeColor="accent1"/>
        <w:left w:val="single" w:sz="8" w:space="0" w:color="27897D" w:themeColor="accent1"/>
        <w:bottom w:val="single" w:sz="8" w:space="0" w:color="27897D" w:themeColor="accent1"/>
        <w:right w:val="single" w:sz="8" w:space="0" w:color="27897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897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897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897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C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C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AA48" w:themeColor="accent2"/>
        <w:left w:val="single" w:sz="8" w:space="0" w:color="79AA48" w:themeColor="accent2"/>
        <w:bottom w:val="single" w:sz="8" w:space="0" w:color="79AA48" w:themeColor="accent2"/>
        <w:right w:val="single" w:sz="8" w:space="0" w:color="79AA4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A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A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A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B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B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2A56" w:themeColor="accent3"/>
        <w:left w:val="single" w:sz="8" w:space="0" w:color="9E2A56" w:themeColor="accent3"/>
        <w:bottom w:val="single" w:sz="8" w:space="0" w:color="9E2A56" w:themeColor="accent3"/>
        <w:right w:val="single" w:sz="8" w:space="0" w:color="9E2A5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2A5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2A5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2A5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2E2E" w:themeColor="accent4"/>
        <w:left w:val="single" w:sz="8" w:space="0" w:color="D02E2E" w:themeColor="accent4"/>
        <w:bottom w:val="single" w:sz="8" w:space="0" w:color="D02E2E" w:themeColor="accent4"/>
        <w:right w:val="single" w:sz="8" w:space="0" w:color="D02E2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2E2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2E2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2E2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B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B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A23F" w:themeColor="accent5"/>
        <w:left w:val="single" w:sz="8" w:space="0" w:color="E5A23F" w:themeColor="accent5"/>
        <w:bottom w:val="single" w:sz="8" w:space="0" w:color="E5A23F" w:themeColor="accent5"/>
        <w:right w:val="single" w:sz="8" w:space="0" w:color="E5A2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A2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A2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A2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7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7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035B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51E" w:themeColor="accent6"/>
        <w:left w:val="single" w:sz="8" w:space="0" w:color="E6651E" w:themeColor="accent6"/>
        <w:bottom w:val="single" w:sz="8" w:space="0" w:color="E6651E" w:themeColor="accent6"/>
        <w:right w:val="single" w:sz="8" w:space="0" w:color="E6651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51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51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51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8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8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3CC7B6" w:themeColor="accent1" w:themeTint="BF"/>
        <w:left w:val="single" w:sz="8" w:space="0" w:color="3CC7B6" w:themeColor="accent1" w:themeTint="BF"/>
        <w:bottom w:val="single" w:sz="8" w:space="0" w:color="3CC7B6" w:themeColor="accent1" w:themeTint="BF"/>
        <w:right w:val="single" w:sz="8" w:space="0" w:color="3CC7B6" w:themeColor="accent1" w:themeTint="BF"/>
        <w:insideH w:val="single" w:sz="8" w:space="0" w:color="3CC7B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7B6" w:themeColor="accent1" w:themeTint="BF"/>
          <w:left w:val="single" w:sz="8" w:space="0" w:color="3CC7B6" w:themeColor="accent1" w:themeTint="BF"/>
          <w:bottom w:val="single" w:sz="8" w:space="0" w:color="3CC7B6" w:themeColor="accent1" w:themeTint="BF"/>
          <w:right w:val="single" w:sz="8" w:space="0" w:color="3CC7B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C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C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9AC371" w:themeColor="accent2" w:themeTint="BF"/>
        <w:left w:val="single" w:sz="8" w:space="0" w:color="9AC371" w:themeColor="accent2" w:themeTint="BF"/>
        <w:bottom w:val="single" w:sz="8" w:space="0" w:color="9AC371" w:themeColor="accent2" w:themeTint="BF"/>
        <w:right w:val="single" w:sz="8" w:space="0" w:color="9AC371" w:themeColor="accent2" w:themeTint="BF"/>
        <w:insideH w:val="single" w:sz="8" w:space="0" w:color="9AC371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371" w:themeColor="accent2" w:themeTint="BF"/>
          <w:left w:val="single" w:sz="8" w:space="0" w:color="9AC371" w:themeColor="accent2" w:themeTint="BF"/>
          <w:bottom w:val="single" w:sz="8" w:space="0" w:color="9AC371" w:themeColor="accent2" w:themeTint="BF"/>
          <w:right w:val="single" w:sz="8" w:space="0" w:color="9AC37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B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CE477A" w:themeColor="accent3" w:themeTint="BF"/>
        <w:left w:val="single" w:sz="8" w:space="0" w:color="CE477A" w:themeColor="accent3" w:themeTint="BF"/>
        <w:bottom w:val="single" w:sz="8" w:space="0" w:color="CE477A" w:themeColor="accent3" w:themeTint="BF"/>
        <w:right w:val="single" w:sz="8" w:space="0" w:color="CE477A" w:themeColor="accent3" w:themeTint="BF"/>
        <w:insideH w:val="single" w:sz="8" w:space="0" w:color="CE477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77A" w:themeColor="accent3" w:themeTint="BF"/>
          <w:left w:val="single" w:sz="8" w:space="0" w:color="CE477A" w:themeColor="accent3" w:themeTint="BF"/>
          <w:bottom w:val="single" w:sz="8" w:space="0" w:color="CE477A" w:themeColor="accent3" w:themeTint="BF"/>
          <w:right w:val="single" w:sz="8" w:space="0" w:color="CE47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DC6161" w:themeColor="accent4" w:themeTint="BF"/>
        <w:left w:val="single" w:sz="8" w:space="0" w:color="DC6161" w:themeColor="accent4" w:themeTint="BF"/>
        <w:bottom w:val="single" w:sz="8" w:space="0" w:color="DC6161" w:themeColor="accent4" w:themeTint="BF"/>
        <w:right w:val="single" w:sz="8" w:space="0" w:color="DC6161" w:themeColor="accent4" w:themeTint="BF"/>
        <w:insideH w:val="single" w:sz="8" w:space="0" w:color="DC616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6161" w:themeColor="accent4" w:themeTint="BF"/>
          <w:left w:val="single" w:sz="8" w:space="0" w:color="DC6161" w:themeColor="accent4" w:themeTint="BF"/>
          <w:bottom w:val="single" w:sz="8" w:space="0" w:color="DC6161" w:themeColor="accent4" w:themeTint="BF"/>
          <w:right w:val="single" w:sz="8" w:space="0" w:color="DC616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B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B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BB96F" w:themeColor="accent5" w:themeTint="BF"/>
        <w:left w:val="single" w:sz="8" w:space="0" w:color="EBB96F" w:themeColor="accent5" w:themeTint="BF"/>
        <w:bottom w:val="single" w:sz="8" w:space="0" w:color="EBB96F" w:themeColor="accent5" w:themeTint="BF"/>
        <w:right w:val="single" w:sz="8" w:space="0" w:color="EBB96F" w:themeColor="accent5" w:themeTint="BF"/>
        <w:insideH w:val="single" w:sz="8" w:space="0" w:color="EBB96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B96F" w:themeColor="accent5" w:themeTint="BF"/>
          <w:left w:val="single" w:sz="8" w:space="0" w:color="EBB96F" w:themeColor="accent5" w:themeTint="BF"/>
          <w:bottom w:val="single" w:sz="8" w:space="0" w:color="EBB96F" w:themeColor="accent5" w:themeTint="BF"/>
          <w:right w:val="single" w:sz="8" w:space="0" w:color="EBB96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7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7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8" w:space="0" w:color="EC8B56" w:themeColor="accent6" w:themeTint="BF"/>
        <w:left w:val="single" w:sz="8" w:space="0" w:color="EC8B56" w:themeColor="accent6" w:themeTint="BF"/>
        <w:bottom w:val="single" w:sz="8" w:space="0" w:color="EC8B56" w:themeColor="accent6" w:themeTint="BF"/>
        <w:right w:val="single" w:sz="8" w:space="0" w:color="EC8B56" w:themeColor="accent6" w:themeTint="BF"/>
        <w:insideH w:val="single" w:sz="8" w:space="0" w:color="EC8B5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8B56" w:themeColor="accent6" w:themeTint="BF"/>
          <w:left w:val="single" w:sz="8" w:space="0" w:color="EC8B56" w:themeColor="accent6" w:themeTint="BF"/>
          <w:bottom w:val="single" w:sz="8" w:space="0" w:color="EC8B56" w:themeColor="accent6" w:themeTint="BF"/>
          <w:right w:val="single" w:sz="8" w:space="0" w:color="EC8B5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8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8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897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A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2A5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2E2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A2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0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51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35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35B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5035B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35B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35B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35B3"/>
  </w:style>
  <w:style w:type="character" w:styleId="PageNumber">
    <w:name w:val="page number"/>
    <w:basedOn w:val="DefaultParagraphFont"/>
    <w:uiPriority w:val="99"/>
    <w:semiHidden/>
    <w:unhideWhenUsed/>
    <w:rsid w:val="005035B3"/>
  </w:style>
  <w:style w:type="character" w:styleId="PlaceholderText">
    <w:name w:val="Placeholder Text"/>
    <w:basedOn w:val="DefaultParagraphFont"/>
    <w:uiPriority w:val="99"/>
    <w:semiHidden/>
    <w:rsid w:val="00877CA6"/>
    <w:rPr>
      <w:color w:val="595959" w:themeColor="text1" w:themeTint="A6"/>
    </w:rPr>
  </w:style>
  <w:style w:type="table" w:styleId="PlainTable1">
    <w:name w:val="Plain Table 1"/>
    <w:basedOn w:val="TableNormal"/>
    <w:uiPriority w:val="41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035B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035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035B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35B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035B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035B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35B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35B3"/>
  </w:style>
  <w:style w:type="paragraph" w:styleId="Signature">
    <w:name w:val="Signature"/>
    <w:basedOn w:val="Normal"/>
    <w:link w:val="SignatureChar"/>
    <w:uiPriority w:val="99"/>
    <w:semiHidden/>
    <w:unhideWhenUsed/>
    <w:rsid w:val="005035B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35B3"/>
  </w:style>
  <w:style w:type="character" w:styleId="SubtleEmphasis">
    <w:name w:val="Subtle Emphasis"/>
    <w:basedOn w:val="DefaultParagraphFont"/>
    <w:uiPriority w:val="19"/>
    <w:semiHidden/>
    <w:unhideWhenUsed/>
    <w:qFormat/>
    <w:rsid w:val="005035B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035B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035B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035B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035B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035B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035B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035B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035B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035B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035B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035B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035B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035B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035B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035B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035B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035B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035B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035B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035B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035B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035B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35B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35B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035B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035B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035B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035B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035B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03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035B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035B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035B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035B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035B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03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035B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035B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035B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035B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035B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035B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035B3"/>
    <w:pPr>
      <w:spacing w:after="100"/>
      <w:ind w:left="1760"/>
    </w:p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877CA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77CA6"/>
    <w:rPr>
      <w:rFonts w:eastAsiaTheme="minorEastAsia"/>
      <w:color w:val="5A5A5A" w:themeColor="text1" w:themeTint="A5"/>
      <w:spacing w:val="15"/>
    </w:rPr>
  </w:style>
  <w:style w:type="paragraph" w:customStyle="1" w:styleId="Default">
    <w:name w:val="Default"/>
    <w:basedOn w:val="Normal"/>
    <w:rsid w:val="0041587F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6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27">
      <a:dk1>
        <a:sysClr val="windowText" lastClr="000000"/>
      </a:dk1>
      <a:lt1>
        <a:sysClr val="window" lastClr="FFFFFF"/>
      </a:lt1>
      <a:dk2>
        <a:srgbClr val="21272F"/>
      </a:dk2>
      <a:lt2>
        <a:srgbClr val="EAEAEA"/>
      </a:lt2>
      <a:accent1>
        <a:srgbClr val="27897D"/>
      </a:accent1>
      <a:accent2>
        <a:srgbClr val="79AA48"/>
      </a:accent2>
      <a:accent3>
        <a:srgbClr val="9E2A56"/>
      </a:accent3>
      <a:accent4>
        <a:srgbClr val="D02E2E"/>
      </a:accent4>
      <a:accent5>
        <a:srgbClr val="E5A23F"/>
      </a:accent5>
      <a:accent6>
        <a:srgbClr val="E6651E"/>
      </a:accent6>
      <a:hlink>
        <a:srgbClr val="27897D"/>
      </a:hlink>
      <a:folHlink>
        <a:srgbClr val="9E2A56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AB91-7A2A-4113-9113-0CD8D667A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1758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Johnson</dc:creator>
  <cp:keywords/>
  <dc:description/>
  <cp:lastModifiedBy>Renee Johnson</cp:lastModifiedBy>
  <cp:revision>2</cp:revision>
  <cp:lastPrinted>2020-03-29T19:14:00Z</cp:lastPrinted>
  <dcterms:created xsi:type="dcterms:W3CDTF">2020-04-14T14:06:00Z</dcterms:created>
  <dcterms:modified xsi:type="dcterms:W3CDTF">2020-04-14T14:06:00Z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