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CE3EF3" w:rsidTr="00C1325B">
        <w:tc>
          <w:tcPr>
            <w:tcW w:w="2358" w:type="dxa"/>
            <w:tcBorders>
              <w:top w:val="nil"/>
              <w:left w:val="nil"/>
              <w:bottom w:val="nil"/>
              <w:right w:val="nil"/>
            </w:tcBorders>
            <w:hideMark/>
          </w:tcPr>
          <w:p w:rsidR="00C1325B" w:rsidRPr="00CE3EF3" w:rsidRDefault="00C1325B">
            <w:pPr>
              <w:rPr>
                <w:rFonts w:ascii="Cambria" w:hAnsi="Cambria"/>
              </w:rPr>
            </w:pPr>
            <w:r w:rsidRPr="00CE3EF3">
              <w:rPr>
                <w:rFonts w:ascii="Cambria" w:hAnsi="Cambria"/>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2918038" r:id="rId6"/>
              </w:object>
            </w:r>
          </w:p>
        </w:tc>
        <w:tc>
          <w:tcPr>
            <w:tcW w:w="3780" w:type="dxa"/>
            <w:tcBorders>
              <w:top w:val="nil"/>
              <w:left w:val="nil"/>
              <w:bottom w:val="nil"/>
              <w:right w:val="nil"/>
            </w:tcBorders>
          </w:tcPr>
          <w:p w:rsidR="00C1325B" w:rsidRPr="00CE3EF3" w:rsidRDefault="00C1325B">
            <w:pPr>
              <w:pStyle w:val="Heading2"/>
              <w:rPr>
                <w:rFonts w:ascii="Cambria" w:hAnsi="Cambria"/>
              </w:rPr>
            </w:pPr>
            <w:r w:rsidRPr="00CE3EF3">
              <w:rPr>
                <w:rFonts w:ascii="Cambria" w:hAnsi="Cambria"/>
              </w:rPr>
              <w:t>TOWN OF DEDHAM</w:t>
            </w:r>
          </w:p>
          <w:p w:rsidR="00C1325B" w:rsidRPr="00CE3EF3" w:rsidRDefault="00C1325B">
            <w:pPr>
              <w:jc w:val="center"/>
              <w:rPr>
                <w:rFonts w:ascii="Cambria" w:hAnsi="Cambria"/>
                <w:b/>
                <w:sz w:val="36"/>
              </w:rPr>
            </w:pPr>
          </w:p>
          <w:p w:rsidR="00C1325B" w:rsidRPr="00CE3EF3" w:rsidRDefault="00C1325B">
            <w:pPr>
              <w:jc w:val="center"/>
              <w:rPr>
                <w:rFonts w:ascii="Cambria" w:hAnsi="Cambria"/>
                <w:b/>
                <w:sz w:val="44"/>
              </w:rPr>
            </w:pPr>
            <w:r w:rsidRPr="00CE3EF3">
              <w:rPr>
                <w:rFonts w:ascii="Cambria" w:hAnsi="Cambria"/>
                <w:b/>
                <w:sz w:val="44"/>
              </w:rPr>
              <w:t>MEETING</w:t>
            </w:r>
          </w:p>
          <w:p w:rsidR="00C1325B" w:rsidRPr="00CE3EF3" w:rsidRDefault="00C1325B">
            <w:pPr>
              <w:jc w:val="center"/>
              <w:rPr>
                <w:rFonts w:ascii="Cambria" w:hAnsi="Cambria"/>
                <w:b/>
                <w:sz w:val="36"/>
              </w:rPr>
            </w:pPr>
            <w:r w:rsidRPr="00CE3EF3">
              <w:rPr>
                <w:rFonts w:ascii="Cambria" w:hAnsi="Cambria"/>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CE3EF3" w:rsidRDefault="00C1325B">
            <w:pPr>
              <w:rPr>
                <w:rFonts w:ascii="Cambria" w:hAnsi="Cambria"/>
              </w:rPr>
            </w:pPr>
            <w:r w:rsidRPr="00CE3EF3">
              <w:rPr>
                <w:rFonts w:ascii="Cambria" w:hAnsi="Cambria"/>
              </w:rPr>
              <w:t>POSTED:</w:t>
            </w:r>
          </w:p>
          <w:p w:rsidR="00C1325B" w:rsidRPr="00CE3EF3" w:rsidRDefault="00C1325B">
            <w:pPr>
              <w:rPr>
                <w:rFonts w:ascii="Cambria" w:hAnsi="Cambria"/>
              </w:rPr>
            </w:pPr>
          </w:p>
          <w:p w:rsidR="00C1325B" w:rsidRPr="00CE3EF3" w:rsidRDefault="00C1325B">
            <w:pP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p>
          <w:p w:rsidR="00C1325B" w:rsidRPr="00CE3EF3" w:rsidRDefault="00C1325B">
            <w:pPr>
              <w:jc w:val="center"/>
              <w:rPr>
                <w:rFonts w:ascii="Cambria" w:hAnsi="Cambria"/>
              </w:rPr>
            </w:pPr>
            <w:r w:rsidRPr="00CE3EF3">
              <w:rPr>
                <w:rFonts w:ascii="Cambria" w:hAnsi="Cambria"/>
              </w:rPr>
              <w:t>TOWN CLERK</w:t>
            </w:r>
          </w:p>
        </w:tc>
      </w:tr>
    </w:tbl>
    <w:p w:rsidR="00C1325B" w:rsidRPr="00CE3EF3" w:rsidRDefault="00C1325B" w:rsidP="00C1325B">
      <w:pPr>
        <w:rPr>
          <w:rFonts w:ascii="Cambria" w:hAnsi="Cambria"/>
          <w:sz w:val="20"/>
        </w:rPr>
      </w:pPr>
    </w:p>
    <w:p w:rsidR="00C1325B" w:rsidRPr="00CE3EF3" w:rsidRDefault="00C1325B" w:rsidP="007E0B98">
      <w:pPr>
        <w:tabs>
          <w:tab w:val="left" w:pos="6480"/>
        </w:tabs>
        <w:jc w:val="center"/>
        <w:rPr>
          <w:rFonts w:ascii="Cambria" w:hAnsi="Cambria"/>
          <w:sz w:val="20"/>
        </w:rPr>
      </w:pPr>
      <w:r w:rsidRPr="00CE3EF3">
        <w:rPr>
          <w:rFonts w:ascii="Cambria" w:hAnsi="Cambria"/>
          <w:sz w:val="20"/>
        </w:rPr>
        <w:t xml:space="preserve">POSTED IN ACCORDANCE WITH THE PROVISIONS OF M.G.L. </w:t>
      </w:r>
      <w:r w:rsidR="00575526" w:rsidRPr="00CE3EF3">
        <w:rPr>
          <w:rFonts w:ascii="Cambria" w:hAnsi="Cambria"/>
          <w:sz w:val="20"/>
        </w:rPr>
        <w:t xml:space="preserve">Ch. 30A, </w:t>
      </w:r>
      <w:r w:rsidR="00FA11EA" w:rsidRPr="00CE3EF3">
        <w:rPr>
          <w:rFonts w:ascii="Cambria" w:hAnsi="Cambria"/>
          <w:sz w:val="20"/>
        </w:rPr>
        <w:t>SECTION</w:t>
      </w:r>
      <w:r w:rsidR="00575526" w:rsidRPr="00CE3EF3">
        <w:rPr>
          <w:rFonts w:ascii="Cambria" w:hAnsi="Cambria"/>
          <w:sz w:val="20"/>
        </w:rPr>
        <w:t xml:space="preserve"> 20 </w:t>
      </w:r>
      <w:r w:rsidRPr="00CE3EF3">
        <w:rPr>
          <w:rFonts w:ascii="Cambria" w:hAnsi="Cambria"/>
          <w:sz w:val="20"/>
        </w:rPr>
        <w:t>AS AMENDED.</w:t>
      </w:r>
    </w:p>
    <w:p w:rsidR="00C1325B" w:rsidRPr="00CE3EF3" w:rsidRDefault="00C1325B" w:rsidP="00C1325B">
      <w:pPr>
        <w:jc w:val="center"/>
        <w:rPr>
          <w:rFonts w:ascii="Cambria" w:hAnsi="Cambria"/>
          <w:sz w:val="20"/>
        </w:rPr>
      </w:pPr>
    </w:p>
    <w:tbl>
      <w:tblPr>
        <w:tblW w:w="0" w:type="auto"/>
        <w:tblLook w:val="04A0" w:firstRow="1" w:lastRow="0" w:firstColumn="1" w:lastColumn="0" w:noHBand="0" w:noVBand="1"/>
      </w:tblPr>
      <w:tblGrid>
        <w:gridCol w:w="2808"/>
        <w:gridCol w:w="6768"/>
      </w:tblGrid>
      <w:tr w:rsidR="00C1325B" w:rsidRPr="00CE3EF3"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CE3EF3" w:rsidRDefault="00614115">
            <w:pPr>
              <w:rPr>
                <w:rFonts w:ascii="Cambria" w:hAnsi="Cambria"/>
                <w:b/>
                <w:szCs w:val="24"/>
              </w:rPr>
            </w:pPr>
            <w:r w:rsidRPr="00CE3EF3">
              <w:rPr>
                <w:rFonts w:ascii="Cambria" w:hAnsi="Cambria"/>
                <w:b/>
                <w:szCs w:val="24"/>
              </w:rPr>
              <w:t xml:space="preserve">Zoning Board of Appeals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Location:</w:t>
            </w:r>
          </w:p>
        </w:tc>
        <w:tc>
          <w:tcPr>
            <w:tcW w:w="6768" w:type="dxa"/>
            <w:tcBorders>
              <w:top w:val="single" w:sz="4" w:space="0" w:color="auto"/>
              <w:left w:val="nil"/>
              <w:bottom w:val="single" w:sz="4" w:space="0" w:color="auto"/>
              <w:right w:val="single" w:sz="4" w:space="0" w:color="auto"/>
            </w:tcBorders>
          </w:tcPr>
          <w:p w:rsidR="00C1325B" w:rsidRPr="00CE3EF3" w:rsidRDefault="00B15CA5">
            <w:pPr>
              <w:rPr>
                <w:rFonts w:ascii="Cambria" w:hAnsi="Cambria"/>
                <w:b/>
                <w:szCs w:val="24"/>
              </w:rPr>
            </w:pPr>
            <w:r w:rsidRPr="00CE3EF3">
              <w:rPr>
                <w:rFonts w:ascii="Cambria" w:hAnsi="Cambria"/>
                <w:b/>
                <w:szCs w:val="24"/>
              </w:rPr>
              <w:t xml:space="preserve">Lower Conference Room </w:t>
            </w:r>
          </w:p>
          <w:p w:rsidR="00C1325B" w:rsidRPr="00CE3EF3" w:rsidRDefault="00C1325B">
            <w:pPr>
              <w:rPr>
                <w:rFonts w:ascii="Cambria" w:hAnsi="Cambria"/>
                <w:b/>
                <w:szCs w:val="24"/>
              </w:rPr>
            </w:pPr>
          </w:p>
        </w:tc>
      </w:tr>
      <w:tr w:rsidR="00C1325B" w:rsidRPr="00CE3EF3" w:rsidTr="00C1325B">
        <w:trPr>
          <w:trHeight w:hRule="exact" w:val="432"/>
        </w:trPr>
        <w:tc>
          <w:tcPr>
            <w:tcW w:w="2808" w:type="dxa"/>
            <w:tcBorders>
              <w:top w:val="nil"/>
              <w:left w:val="single" w:sz="4" w:space="0" w:color="auto"/>
              <w:bottom w:val="nil"/>
              <w:right w:val="nil"/>
            </w:tcBorders>
            <w:vAlign w:val="center"/>
            <w:hideMark/>
          </w:tcPr>
          <w:p w:rsidR="00C1325B" w:rsidRPr="00CE3EF3" w:rsidRDefault="00C1325B">
            <w:pPr>
              <w:rPr>
                <w:rFonts w:ascii="Cambria" w:hAnsi="Cambria"/>
                <w:b/>
                <w:szCs w:val="24"/>
              </w:rPr>
            </w:pPr>
            <w:r w:rsidRPr="00CE3EF3">
              <w:rPr>
                <w:rFonts w:ascii="Cambria" w:hAnsi="Cambria"/>
                <w:b/>
                <w:szCs w:val="24"/>
              </w:rPr>
              <w:t>Day, Date, Time:</w:t>
            </w:r>
          </w:p>
        </w:tc>
        <w:tc>
          <w:tcPr>
            <w:tcW w:w="6768" w:type="dxa"/>
            <w:tcBorders>
              <w:top w:val="single" w:sz="4" w:space="0" w:color="auto"/>
              <w:left w:val="nil"/>
              <w:bottom w:val="single" w:sz="4" w:space="0" w:color="auto"/>
              <w:right w:val="single" w:sz="4" w:space="0" w:color="auto"/>
            </w:tcBorders>
          </w:tcPr>
          <w:p w:rsidR="00C1325B" w:rsidRPr="00CE3EF3" w:rsidRDefault="00493621" w:rsidP="00F206B2">
            <w:pPr>
              <w:rPr>
                <w:rFonts w:ascii="Cambria" w:hAnsi="Cambria"/>
                <w:b/>
                <w:szCs w:val="24"/>
              </w:rPr>
            </w:pPr>
            <w:r w:rsidRPr="00CE3EF3">
              <w:rPr>
                <w:rFonts w:ascii="Cambria" w:hAnsi="Cambria"/>
                <w:b/>
                <w:szCs w:val="24"/>
              </w:rPr>
              <w:t>Wednesday,</w:t>
            </w:r>
            <w:r w:rsidR="00033330" w:rsidRPr="00CE3EF3">
              <w:rPr>
                <w:rFonts w:ascii="Cambria" w:hAnsi="Cambria"/>
                <w:b/>
                <w:szCs w:val="24"/>
              </w:rPr>
              <w:t xml:space="preserve"> </w:t>
            </w:r>
            <w:r w:rsidR="00F206B2">
              <w:rPr>
                <w:rFonts w:ascii="Cambria" w:hAnsi="Cambria"/>
                <w:b/>
                <w:szCs w:val="24"/>
              </w:rPr>
              <w:t>July 18</w:t>
            </w:r>
            <w:r w:rsidR="007F4202">
              <w:rPr>
                <w:rFonts w:ascii="Cambria" w:hAnsi="Cambria"/>
                <w:b/>
                <w:szCs w:val="24"/>
              </w:rPr>
              <w:t>, 2018</w:t>
            </w:r>
            <w:r w:rsidR="00B15A58" w:rsidRPr="00CE3EF3">
              <w:rPr>
                <w:rFonts w:ascii="Cambria" w:hAnsi="Cambria"/>
                <w:b/>
                <w:szCs w:val="24"/>
              </w:rPr>
              <w:t>,</w:t>
            </w:r>
            <w:r w:rsidR="004B4A84" w:rsidRPr="00CE3EF3">
              <w:rPr>
                <w:rFonts w:ascii="Cambria" w:hAnsi="Cambria"/>
                <w:b/>
                <w:szCs w:val="24"/>
              </w:rPr>
              <w:t xml:space="preserve"> 7:00 p.m.</w:t>
            </w:r>
          </w:p>
        </w:tc>
      </w:tr>
      <w:tr w:rsidR="00C1325B" w:rsidRPr="00CE3EF3" w:rsidTr="00727DF1">
        <w:trPr>
          <w:trHeight w:hRule="exact" w:val="432"/>
        </w:trPr>
        <w:tc>
          <w:tcPr>
            <w:tcW w:w="2808" w:type="dxa"/>
            <w:tcBorders>
              <w:top w:val="nil"/>
              <w:left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Submitted By:</w:t>
            </w:r>
          </w:p>
        </w:tc>
        <w:tc>
          <w:tcPr>
            <w:tcW w:w="6768" w:type="dxa"/>
            <w:tcBorders>
              <w:top w:val="single" w:sz="4" w:space="0" w:color="auto"/>
              <w:left w:val="nil"/>
              <w:bottom w:val="single" w:sz="4" w:space="0" w:color="auto"/>
              <w:right w:val="single" w:sz="4" w:space="0" w:color="auto"/>
            </w:tcBorders>
          </w:tcPr>
          <w:p w:rsidR="00C1325B" w:rsidRPr="00CE3EF3" w:rsidRDefault="00B77011">
            <w:pPr>
              <w:rPr>
                <w:rFonts w:ascii="Cambria" w:hAnsi="Cambria"/>
                <w:szCs w:val="24"/>
              </w:rPr>
            </w:pPr>
            <w:r>
              <w:rPr>
                <w:rFonts w:ascii="Cambria" w:hAnsi="Cambria"/>
                <w:szCs w:val="24"/>
              </w:rPr>
              <w:t>Jennifer Doherty</w:t>
            </w:r>
            <w:r w:rsidR="007B7321">
              <w:rPr>
                <w:rFonts w:ascii="Cambria" w:hAnsi="Cambria"/>
                <w:szCs w:val="24"/>
              </w:rPr>
              <w:t xml:space="preserve">, Administrative Assistant </w:t>
            </w:r>
          </w:p>
        </w:tc>
      </w:tr>
      <w:tr w:rsidR="00C1325B" w:rsidRPr="00CE3EF3"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CE3EF3" w:rsidRDefault="00C1325B">
            <w:pPr>
              <w:rPr>
                <w:rFonts w:ascii="Cambria" w:hAnsi="Cambria"/>
                <w:b/>
                <w:szCs w:val="24"/>
              </w:rPr>
            </w:pPr>
            <w:r w:rsidRPr="00CE3EF3">
              <w:rPr>
                <w:rFonts w:ascii="Cambria" w:hAnsi="Cambria"/>
                <w:b/>
                <w:szCs w:val="24"/>
              </w:rPr>
              <w:t>Date:</w:t>
            </w:r>
          </w:p>
        </w:tc>
        <w:tc>
          <w:tcPr>
            <w:tcW w:w="6768" w:type="dxa"/>
            <w:tcBorders>
              <w:top w:val="single" w:sz="4" w:space="0" w:color="auto"/>
              <w:left w:val="nil"/>
              <w:bottom w:val="single" w:sz="4" w:space="0" w:color="auto"/>
              <w:right w:val="single" w:sz="4" w:space="0" w:color="auto"/>
            </w:tcBorders>
          </w:tcPr>
          <w:p w:rsidR="00C1325B" w:rsidRPr="00CE3EF3" w:rsidRDefault="00C13981" w:rsidP="006B1648">
            <w:pPr>
              <w:rPr>
                <w:rFonts w:ascii="Cambria" w:hAnsi="Cambria"/>
                <w:szCs w:val="24"/>
              </w:rPr>
            </w:pPr>
            <w:r w:rsidRPr="00CE3EF3">
              <w:rPr>
                <w:rFonts w:ascii="Cambria" w:hAnsi="Cambria"/>
                <w:szCs w:val="24"/>
              </w:rPr>
              <w:t xml:space="preserve"> </w:t>
            </w:r>
          </w:p>
        </w:tc>
      </w:tr>
    </w:tbl>
    <w:p w:rsidR="00C1325B" w:rsidRPr="00CE3EF3" w:rsidRDefault="00C1325B" w:rsidP="00C1325B">
      <w:pPr>
        <w:rPr>
          <w:rFonts w:ascii="Cambria" w:hAnsi="Cambria"/>
          <w:sz w:val="20"/>
        </w:rPr>
      </w:pPr>
      <w:r w:rsidRPr="00CE3EF3">
        <w:rPr>
          <w:rFonts w:ascii="Cambria" w:hAnsi="Cambria"/>
          <w:sz w:val="20"/>
        </w:rPr>
        <w:t xml:space="preserve"> </w:t>
      </w:r>
    </w:p>
    <w:p w:rsidR="00B15CA5" w:rsidRPr="00CE3EF3" w:rsidRDefault="00C1325B" w:rsidP="0040309A">
      <w:pPr>
        <w:spacing w:line="360" w:lineRule="auto"/>
        <w:jc w:val="center"/>
        <w:rPr>
          <w:rFonts w:ascii="Cambria" w:hAnsi="Cambria"/>
          <w:b/>
          <w:sz w:val="28"/>
          <w:szCs w:val="28"/>
          <w:u w:val="single"/>
        </w:rPr>
      </w:pPr>
      <w:r w:rsidRPr="00CE3EF3">
        <w:rPr>
          <w:rFonts w:ascii="Cambria" w:hAnsi="Cambria"/>
          <w:b/>
          <w:sz w:val="28"/>
          <w:szCs w:val="28"/>
          <w:u w:val="single"/>
        </w:rPr>
        <w:t>AGENDA:</w:t>
      </w:r>
    </w:p>
    <w:p w:rsidR="00A81502" w:rsidRPr="00CE3EF3" w:rsidRDefault="00A81502" w:rsidP="00A81502">
      <w:pPr>
        <w:ind w:right="-3"/>
        <w:jc w:val="both"/>
        <w:rPr>
          <w:rFonts w:ascii="Cambria" w:hAnsi="Cambria"/>
          <w:i/>
          <w:sz w:val="22"/>
          <w:szCs w:val="22"/>
        </w:rPr>
      </w:pPr>
      <w:r w:rsidRPr="00CE3EF3">
        <w:rPr>
          <w:rFonts w:ascii="Cambria" w:hAnsi="Cambria"/>
          <w:b/>
          <w:i/>
          <w:color w:val="C00000"/>
          <w:sz w:val="22"/>
          <w:szCs w:val="22"/>
        </w:rPr>
        <w:t>NOTE:</w:t>
      </w:r>
      <w:r w:rsidRPr="00CE3EF3">
        <w:rPr>
          <w:rFonts w:ascii="Cambria" w:hAnsi="Cambria"/>
          <w:i/>
          <w:color w:val="C00000"/>
          <w:sz w:val="22"/>
          <w:szCs w:val="22"/>
        </w:rPr>
        <w:t xml:space="preserve"> </w:t>
      </w:r>
      <w:r w:rsidRPr="00CE3EF3">
        <w:rPr>
          <w:rFonts w:ascii="Cambria" w:hAnsi="Cambria"/>
          <w:i/>
          <w:sz w:val="22"/>
          <w:szCs w:val="22"/>
        </w:rPr>
        <w:t xml:space="preserve"> Times noted for each agenda item are approximate and subject to change. No public hearing item will begin before the start time assigned to it, and it may in fact begin later than the time scheduled.</w:t>
      </w:r>
      <w:bookmarkStart w:id="0" w:name="_GoBack"/>
      <w:bookmarkEnd w:id="0"/>
    </w:p>
    <w:p w:rsidR="00A81502" w:rsidRPr="00CE3EF3" w:rsidRDefault="00A81502" w:rsidP="00C1325B">
      <w:pPr>
        <w:rPr>
          <w:rFonts w:ascii="Cambria" w:hAnsi="Cambria"/>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CE3EF3" w:rsidTr="0041232C">
        <w:tc>
          <w:tcPr>
            <w:tcW w:w="1260" w:type="dxa"/>
          </w:tcPr>
          <w:p w:rsidR="00727DF1" w:rsidRPr="002F331D" w:rsidRDefault="00AC4312" w:rsidP="005E792C">
            <w:pPr>
              <w:pStyle w:val="NoSpacing"/>
            </w:pPr>
            <w:r w:rsidRPr="002F331D">
              <w:t>7:00 p.m.</w:t>
            </w:r>
          </w:p>
        </w:tc>
        <w:tc>
          <w:tcPr>
            <w:tcW w:w="8820" w:type="dxa"/>
          </w:tcPr>
          <w:p w:rsidR="00727DF1" w:rsidRPr="00D15C59" w:rsidRDefault="00B77011" w:rsidP="005E792C">
            <w:pPr>
              <w:pStyle w:val="NoSpacing"/>
              <w:rPr>
                <w:i/>
              </w:rPr>
            </w:pPr>
            <w:r>
              <w:rPr>
                <w:b/>
              </w:rPr>
              <w:t>T-Mobile, 5 Incinerator Road</w:t>
            </w:r>
            <w:r w:rsidR="00F206B2" w:rsidRPr="002F331D">
              <w:rPr>
                <w:b/>
              </w:rPr>
              <w:t xml:space="preserve">: </w:t>
            </w:r>
            <w:r w:rsidR="00F206B2">
              <w:t xml:space="preserve"> </w:t>
            </w:r>
            <w:r w:rsidR="00D2523C">
              <w:t xml:space="preserve">To be allowed a </w:t>
            </w:r>
            <w:r w:rsidR="00F206B2">
              <w:t xml:space="preserve">Special Permit and variances as needed to erect a temporary </w:t>
            </w:r>
            <w:r w:rsidR="003B1055">
              <w:t>tower structure</w:t>
            </w:r>
            <w:r w:rsidR="00F206B2">
              <w:t xml:space="preserve"> to house existing wireless equipment at the site of the soon-to-be demolished smokestack on the site of the Transfer Station. The time limit for the temporary tower is no more than two (2) years. </w:t>
            </w:r>
            <w:r w:rsidR="00D15C59">
              <w:t xml:space="preserve"> </w:t>
            </w:r>
            <w:r w:rsidR="00D15C59">
              <w:rPr>
                <w:i/>
              </w:rPr>
              <w:t>Town of Dedham Zoning Bylaw Sections 6.4, 8.3, 9.2.2, 9.2.3</w:t>
            </w:r>
          </w:p>
        </w:tc>
      </w:tr>
      <w:tr w:rsidR="003A6C73" w:rsidRPr="00CE3EF3" w:rsidTr="0041232C">
        <w:tc>
          <w:tcPr>
            <w:tcW w:w="1260" w:type="dxa"/>
          </w:tcPr>
          <w:p w:rsidR="003A6C73" w:rsidRPr="002F331D" w:rsidRDefault="00977864" w:rsidP="005E792C">
            <w:pPr>
              <w:pStyle w:val="NoSpacing"/>
            </w:pPr>
            <w:r w:rsidRPr="002F331D">
              <w:t>7:05 p.m.</w:t>
            </w:r>
          </w:p>
        </w:tc>
        <w:tc>
          <w:tcPr>
            <w:tcW w:w="8820" w:type="dxa"/>
          </w:tcPr>
          <w:p w:rsidR="003A6C73" w:rsidRPr="005D09C5" w:rsidRDefault="004B2B6A" w:rsidP="005E792C">
            <w:pPr>
              <w:pStyle w:val="NoSpacing"/>
              <w:rPr>
                <w:i/>
              </w:rPr>
            </w:pPr>
            <w:r>
              <w:rPr>
                <w:b/>
              </w:rPr>
              <w:t xml:space="preserve">Robert and </w:t>
            </w:r>
            <w:r w:rsidR="005D09C5">
              <w:rPr>
                <w:b/>
              </w:rPr>
              <w:t xml:space="preserve">Joanne Bogie, </w:t>
            </w:r>
            <w:r w:rsidR="00D2523C" w:rsidRPr="002F331D">
              <w:rPr>
                <w:b/>
              </w:rPr>
              <w:t>154 Bonham Road:</w:t>
            </w:r>
            <w:r w:rsidR="00D2523C">
              <w:t xml:space="preserve">  To be allowed a </w:t>
            </w:r>
            <w:r w:rsidR="005D09C5">
              <w:t>side yard setback of nine</w:t>
            </w:r>
            <w:r w:rsidR="00D2523C">
              <w:t xml:space="preserve"> feet</w:t>
            </w:r>
            <w:r w:rsidR="005D09C5">
              <w:t xml:space="preserve">, two inches (9’2”) to construct a second floor addition to a non-conforming single family dwelling. </w:t>
            </w:r>
            <w:r w:rsidR="005D09C5">
              <w:rPr>
                <w:i/>
              </w:rPr>
              <w:t>Town of Dedham Zoning Bylaw Sections 3.3.4 and 4.1, Table of Dimensional Requirements</w:t>
            </w:r>
          </w:p>
        </w:tc>
      </w:tr>
      <w:tr w:rsidR="003A6C73" w:rsidRPr="00CE3EF3" w:rsidTr="0041232C">
        <w:tc>
          <w:tcPr>
            <w:tcW w:w="1260" w:type="dxa"/>
          </w:tcPr>
          <w:p w:rsidR="003A6C73" w:rsidRPr="002F331D" w:rsidRDefault="00977864" w:rsidP="005E792C">
            <w:pPr>
              <w:pStyle w:val="NoSpacing"/>
            </w:pPr>
            <w:r w:rsidRPr="002F331D">
              <w:t>7:10 p.m.</w:t>
            </w:r>
          </w:p>
        </w:tc>
        <w:tc>
          <w:tcPr>
            <w:tcW w:w="8820" w:type="dxa"/>
          </w:tcPr>
          <w:p w:rsidR="003A6C73" w:rsidRPr="00977864" w:rsidRDefault="00977864" w:rsidP="005E792C">
            <w:pPr>
              <w:pStyle w:val="NoSpacing"/>
              <w:rPr>
                <w:i/>
              </w:rPr>
            </w:pPr>
            <w:proofErr w:type="spellStart"/>
            <w:r w:rsidRPr="002F331D">
              <w:rPr>
                <w:b/>
              </w:rPr>
              <w:t>Morais</w:t>
            </w:r>
            <w:proofErr w:type="spellEnd"/>
            <w:r w:rsidRPr="002F331D">
              <w:rPr>
                <w:b/>
              </w:rPr>
              <w:t xml:space="preserve"> and Martins, LLC, 250 Washington Street:  </w:t>
            </w:r>
            <w:r>
              <w:t xml:space="preserve">To be allowed such Special Permits and variances as required to construct an addition to a pre-existing nonconforming two-family dwelling on a pre-existing nonconforming lot, which addition will have a lot width through the rear building line of 71.9 feet instead of the required 90 feet. </w:t>
            </w:r>
            <w:r>
              <w:rPr>
                <w:i/>
              </w:rPr>
              <w:t>Town of Dedham Zoning Bylaw Sections 3.3.2, 3.3.3, 3.3.4, 3.3.5, 9.2.2, 9.3.2, Table 1, and Table 2</w:t>
            </w:r>
          </w:p>
        </w:tc>
      </w:tr>
      <w:tr w:rsidR="002F331D" w:rsidRPr="00CE3EF3" w:rsidTr="0041232C">
        <w:tc>
          <w:tcPr>
            <w:tcW w:w="1260" w:type="dxa"/>
          </w:tcPr>
          <w:p w:rsidR="002F331D" w:rsidRPr="002F331D" w:rsidRDefault="002F331D" w:rsidP="005E792C">
            <w:pPr>
              <w:pStyle w:val="NoSpacing"/>
            </w:pPr>
            <w:r>
              <w:t>7:15 p.m.</w:t>
            </w:r>
          </w:p>
        </w:tc>
        <w:tc>
          <w:tcPr>
            <w:tcW w:w="8820" w:type="dxa"/>
          </w:tcPr>
          <w:p w:rsidR="002F331D" w:rsidRPr="002F331D" w:rsidRDefault="002F331D" w:rsidP="005E792C">
            <w:pPr>
              <w:pStyle w:val="NoSpacing"/>
              <w:rPr>
                <w:i/>
              </w:rPr>
            </w:pPr>
            <w:r w:rsidRPr="002F331D">
              <w:rPr>
                <w:b/>
              </w:rPr>
              <w:t>Elie on Bridge Street, LLC, 22 Bridge Street:</w:t>
            </w:r>
            <w:r>
              <w:rPr>
                <w:b/>
              </w:rPr>
              <w:t xml:space="preserve">  </w:t>
            </w:r>
            <w:r>
              <w:t xml:space="preserve">To be allowed such Special Permits and variances as necessary to construct an approximately 528 square foot addition to a pre-existing nonconforming service station to be used as a bay for automobile inspections (i.e., an extension, alteration, and enlargement of a pre-existing nonconforming structure and use) at 22 Bridge Street, Dedham, MA, in the General Business zoning district. </w:t>
            </w:r>
            <w:r>
              <w:rPr>
                <w:i/>
              </w:rPr>
              <w:t>Town of Dedham Zoning Bylaw Sections 3.1.3, 3.3.2, 3.3.3, 9.2.2, 9.3, 10, and Table 1</w:t>
            </w:r>
          </w:p>
        </w:tc>
      </w:tr>
      <w:tr w:rsidR="003A6C73" w:rsidRPr="00CE3EF3" w:rsidTr="0041232C">
        <w:tc>
          <w:tcPr>
            <w:tcW w:w="1260" w:type="dxa"/>
          </w:tcPr>
          <w:p w:rsidR="003A6C73" w:rsidRPr="00CD1C91" w:rsidRDefault="00CD1C91" w:rsidP="005E792C">
            <w:pPr>
              <w:pStyle w:val="NoSpacing"/>
            </w:pPr>
            <w:r>
              <w:t>7:20 p.m.</w:t>
            </w:r>
          </w:p>
        </w:tc>
        <w:tc>
          <w:tcPr>
            <w:tcW w:w="8820" w:type="dxa"/>
          </w:tcPr>
          <w:p w:rsidR="003A6C73" w:rsidRPr="00CD1C91" w:rsidRDefault="00CD1C91" w:rsidP="005E792C">
            <w:pPr>
              <w:pStyle w:val="NoSpacing"/>
              <w:rPr>
                <w:i/>
              </w:rPr>
            </w:pPr>
            <w:r>
              <w:rPr>
                <w:b/>
              </w:rPr>
              <w:t>Robert Keogh and Michael J. Bellante, Trustees, Alibi Realty Trust, 100 Meadowbrook Road:</w:t>
            </w:r>
            <w:r>
              <w:t xml:space="preserve">  To be allowed such Special Permits and variance required to divide an existing lot occupied by a single family house into two separate lots, one lot with an area of approximately 94,827 square feet occupied by the existing single family house, and one lot with an area of approximately 40,093 square feet occupied by the existing two-family house.</w:t>
            </w:r>
            <w:r>
              <w:rPr>
                <w:i/>
              </w:rPr>
              <w:t xml:space="preserve"> Town of Dedham Zoning Bylaw Sections 3.1, 4.1, 4.7, 9.2, 9.3, Table 1, and Table , and Table 2</w:t>
            </w:r>
          </w:p>
        </w:tc>
      </w:tr>
      <w:tr w:rsidR="00CD1C91" w:rsidRPr="00CE3EF3" w:rsidTr="0041232C">
        <w:tc>
          <w:tcPr>
            <w:tcW w:w="1260" w:type="dxa"/>
          </w:tcPr>
          <w:p w:rsidR="00CD1C91" w:rsidRPr="00CD1C91" w:rsidRDefault="00CD1C91" w:rsidP="005E792C">
            <w:pPr>
              <w:pStyle w:val="NoSpacing"/>
            </w:pPr>
            <w:r>
              <w:t>7:</w:t>
            </w:r>
            <w:r w:rsidR="00094ABD">
              <w:t>2</w:t>
            </w:r>
            <w:r>
              <w:t>5 p.m.</w:t>
            </w:r>
          </w:p>
        </w:tc>
        <w:tc>
          <w:tcPr>
            <w:tcW w:w="8820" w:type="dxa"/>
          </w:tcPr>
          <w:p w:rsidR="00CD1C91" w:rsidRPr="00094ABD" w:rsidRDefault="00094ABD" w:rsidP="005E792C">
            <w:pPr>
              <w:pStyle w:val="NoSpacing"/>
              <w:rPr>
                <w:i/>
              </w:rPr>
            </w:pPr>
            <w:r>
              <w:rPr>
                <w:b/>
              </w:rPr>
              <w:t xml:space="preserve">Dedham Marketplace, LLC, </w:t>
            </w:r>
            <w:proofErr w:type="gramStart"/>
            <w:r>
              <w:rPr>
                <w:b/>
              </w:rPr>
              <w:t>95</w:t>
            </w:r>
            <w:proofErr w:type="gramEnd"/>
            <w:r>
              <w:rPr>
                <w:b/>
              </w:rPr>
              <w:t xml:space="preserve"> Eastern Avenue/600 Providence Highway:</w:t>
            </w:r>
            <w:r>
              <w:t xml:space="preserve">  To be allowed a Special Permit to re-grade, re-pave, add drainage structures, landscape, and perform other </w:t>
            </w:r>
            <w:r>
              <w:lastRenderedPageBreak/>
              <w:t xml:space="preserve">work in a parking lot located in the Flood Plain Overlay District. </w:t>
            </w:r>
            <w:r>
              <w:rPr>
                <w:i/>
              </w:rPr>
              <w:t xml:space="preserve"> Town of Dedham Zoning Bylaw Sections 8.1, 9.2, and 9.3</w:t>
            </w:r>
          </w:p>
        </w:tc>
      </w:tr>
      <w:tr w:rsidR="00CD1C91" w:rsidRPr="00CE3EF3" w:rsidTr="0041232C">
        <w:tc>
          <w:tcPr>
            <w:tcW w:w="1260" w:type="dxa"/>
          </w:tcPr>
          <w:p w:rsidR="00CD1C91" w:rsidRPr="00CD1C91" w:rsidRDefault="00B22642" w:rsidP="005E792C">
            <w:pPr>
              <w:pStyle w:val="NoSpacing"/>
            </w:pPr>
            <w:r>
              <w:lastRenderedPageBreak/>
              <w:t>7:30 p.m.</w:t>
            </w:r>
          </w:p>
        </w:tc>
        <w:tc>
          <w:tcPr>
            <w:tcW w:w="8820" w:type="dxa"/>
          </w:tcPr>
          <w:p w:rsidR="00CD1C91" w:rsidRPr="00B22642" w:rsidRDefault="00B22642" w:rsidP="005E792C">
            <w:pPr>
              <w:pStyle w:val="NoSpacing"/>
              <w:rPr>
                <w:i/>
              </w:rPr>
            </w:pPr>
            <w:r>
              <w:rPr>
                <w:b/>
              </w:rPr>
              <w:t>Petruzziello Properties, LLC, 125 Washington Street:</w:t>
            </w:r>
            <w:r>
              <w:t xml:space="preserve">  To be allowed a waiver from the Town of Dedham Sign Code for an off-premises (and on-premises signs/sign panels) on an otherwise conforming free-standing sign. </w:t>
            </w:r>
            <w:r>
              <w:rPr>
                <w:i/>
              </w:rPr>
              <w:t>Town of Dedham Sign Code Sections 237-4, 237-9, 237-15, 237-29, 237-30, and Table 1</w:t>
            </w:r>
          </w:p>
        </w:tc>
      </w:tr>
      <w:tr w:rsidR="00CD1C91" w:rsidRPr="00CE3EF3" w:rsidTr="0041232C">
        <w:tc>
          <w:tcPr>
            <w:tcW w:w="1260" w:type="dxa"/>
          </w:tcPr>
          <w:p w:rsidR="00CD1C91" w:rsidRPr="00CD1C91" w:rsidRDefault="00D0491E" w:rsidP="005E792C">
            <w:pPr>
              <w:pStyle w:val="NoSpacing"/>
            </w:pPr>
            <w:r>
              <w:t>7:35 p.m.</w:t>
            </w:r>
          </w:p>
        </w:tc>
        <w:tc>
          <w:tcPr>
            <w:tcW w:w="8820" w:type="dxa"/>
          </w:tcPr>
          <w:p w:rsidR="00CD1C91" w:rsidRPr="000539AA" w:rsidRDefault="00D0491E" w:rsidP="005E792C">
            <w:pPr>
              <w:pStyle w:val="NoSpacing"/>
              <w:rPr>
                <w:i/>
              </w:rPr>
            </w:pPr>
            <w:r>
              <w:rPr>
                <w:b/>
              </w:rPr>
              <w:t>Sean Woods, 24 Madison Street:</w:t>
            </w:r>
            <w:r>
              <w:t xml:space="preserve">  To be allowed a </w:t>
            </w:r>
            <w:r w:rsidR="000539AA">
              <w:t xml:space="preserve">front yard setback of 22 feet instead of the required 25 feet to construct a 4’ x 6’ portico over the front door. </w:t>
            </w:r>
            <w:r w:rsidR="000539AA">
              <w:rPr>
                <w:i/>
              </w:rPr>
              <w:t>Town of Dedham Zoning Bylaw Section 4.1 Table of Dimensional Requirements</w:t>
            </w:r>
          </w:p>
        </w:tc>
      </w:tr>
      <w:tr w:rsidR="00D0491E" w:rsidRPr="00CE3EF3" w:rsidTr="0041232C">
        <w:tc>
          <w:tcPr>
            <w:tcW w:w="1260" w:type="dxa"/>
          </w:tcPr>
          <w:p w:rsidR="00D0491E" w:rsidRDefault="004C13F5" w:rsidP="005E792C">
            <w:pPr>
              <w:pStyle w:val="NoSpacing"/>
            </w:pPr>
            <w:r>
              <w:t>7:40 p.m.</w:t>
            </w:r>
          </w:p>
        </w:tc>
        <w:tc>
          <w:tcPr>
            <w:tcW w:w="8820" w:type="dxa"/>
          </w:tcPr>
          <w:p w:rsidR="00D0491E" w:rsidRPr="004C13F5" w:rsidRDefault="004C13F5" w:rsidP="005E792C">
            <w:pPr>
              <w:pStyle w:val="NoSpacing"/>
              <w:rPr>
                <w:i/>
              </w:rPr>
            </w:pPr>
            <w:r w:rsidRPr="004C13F5">
              <w:rPr>
                <w:b/>
              </w:rPr>
              <w:t>Walden Behavioral Care, LLC, and HCRI Massachusetts Properties Trust II, 10 Carematrix Drive:</w:t>
            </w:r>
            <w:r>
              <w:rPr>
                <w:b/>
              </w:rPr>
              <w:t xml:space="preserve">  </w:t>
            </w:r>
            <w:r>
              <w:t xml:space="preserve">To be allowed such variances and Special Permits as necessary for a (former) nonconforming nursing home in a nonconforming building on a nonconforming lot to be used as a hospital with (existing and continuing) lot area of approximately 2.8 acres, lot frontage of approximately 140 feet, lot width of zero, front yard setback of approximately 48 feet, side yard setbacks of approximately 43 feet, 78 feet, and 59 feet, lot coverage of approximately 20%, and floor area ratio of approximately 59%, and without 15% interior landscaping or landscape buffers along property lines. </w:t>
            </w:r>
            <w:r w:rsidR="00E659C4">
              <w:t xml:space="preserve">The property owner is HCRI Massachusetts Properties Trust II, One Seagate, </w:t>
            </w:r>
            <w:proofErr w:type="gramStart"/>
            <w:r w:rsidR="00E659C4">
              <w:t>Toledo</w:t>
            </w:r>
            <w:proofErr w:type="gramEnd"/>
            <w:r w:rsidR="00E659C4">
              <w:t xml:space="preserve">, Ohio. </w:t>
            </w:r>
            <w:r>
              <w:rPr>
                <w:i/>
              </w:rPr>
              <w:t xml:space="preserve"> </w:t>
            </w:r>
            <w:r w:rsidR="00E659C4">
              <w:t xml:space="preserve">The Applicant’s address is 51 Sawyer Drive, Waltham, MA  02453. The property, 10 Carematrix Drive, is in the Research, Development, and Office zoning district.  </w:t>
            </w:r>
            <w:r>
              <w:rPr>
                <w:i/>
              </w:rPr>
              <w:t>Town of Dedham Zoning Bylaw Sections 3.1, 3.3. 4.1, 5.2, 6.2, 9.2, 9.3, Table 1, and Table 2</w:t>
            </w:r>
          </w:p>
        </w:tc>
      </w:tr>
      <w:tr w:rsidR="001C7291" w:rsidRPr="00CE3EF3" w:rsidTr="0041232C">
        <w:tc>
          <w:tcPr>
            <w:tcW w:w="1260" w:type="dxa"/>
          </w:tcPr>
          <w:p w:rsidR="001C7291" w:rsidRDefault="001C7291" w:rsidP="005E792C">
            <w:pPr>
              <w:pStyle w:val="NoSpacing"/>
            </w:pPr>
            <w:r>
              <w:t>7:45 p.m.</w:t>
            </w:r>
          </w:p>
        </w:tc>
        <w:tc>
          <w:tcPr>
            <w:tcW w:w="8820" w:type="dxa"/>
          </w:tcPr>
          <w:p w:rsidR="001C7291" w:rsidRPr="003807BC" w:rsidRDefault="003807BC" w:rsidP="005E792C">
            <w:pPr>
              <w:pStyle w:val="NoSpacing"/>
            </w:pPr>
            <w:proofErr w:type="spellStart"/>
            <w:r>
              <w:rPr>
                <w:b/>
              </w:rPr>
              <w:t>Jordaan</w:t>
            </w:r>
            <w:proofErr w:type="spellEnd"/>
            <w:r>
              <w:rPr>
                <w:b/>
              </w:rPr>
              <w:t xml:space="preserve">, LLC, </w:t>
            </w:r>
            <w:proofErr w:type="gramStart"/>
            <w:r>
              <w:rPr>
                <w:b/>
              </w:rPr>
              <w:t>197</w:t>
            </w:r>
            <w:proofErr w:type="gramEnd"/>
            <w:r>
              <w:rPr>
                <w:b/>
              </w:rPr>
              <w:t xml:space="preserve"> Milton Street:</w:t>
            </w:r>
            <w:r>
              <w:t xml:space="preserve">  To be allowed such variances and Special Permits necessary to close two automotive bays, to construct approximately 455 square feet of additional floor area, and to use approximately 2,585 square feet of floor area for retail of non-automotive products sales at a pre-existing, nonconforming gasoline service station.  </w:t>
            </w:r>
            <w:r>
              <w:rPr>
                <w:i/>
              </w:rPr>
              <w:t>Town of Dedham Zoning Bylaw Sections 3.1, 3.3, 4.1, 9.2, 9.3, Table 1, and Table 2</w:t>
            </w:r>
            <w:r>
              <w:t xml:space="preserve"> </w:t>
            </w:r>
          </w:p>
        </w:tc>
      </w:tr>
      <w:tr w:rsidR="000F7389" w:rsidRPr="00CE3EF3" w:rsidTr="0041232C">
        <w:tc>
          <w:tcPr>
            <w:tcW w:w="1260" w:type="dxa"/>
          </w:tcPr>
          <w:p w:rsidR="000F7389" w:rsidRDefault="000F7389" w:rsidP="005E792C">
            <w:pPr>
              <w:pStyle w:val="NoSpacing"/>
            </w:pPr>
            <w:r>
              <w:t>7:50 p.m.</w:t>
            </w:r>
          </w:p>
        </w:tc>
        <w:tc>
          <w:tcPr>
            <w:tcW w:w="8820" w:type="dxa"/>
          </w:tcPr>
          <w:p w:rsidR="000F7389" w:rsidRPr="000F7389" w:rsidRDefault="000F7389" w:rsidP="00280B53">
            <w:pPr>
              <w:pStyle w:val="NoSpacing"/>
              <w:rPr>
                <w:i/>
              </w:rPr>
            </w:pPr>
            <w:r>
              <w:rPr>
                <w:b/>
              </w:rPr>
              <w:t>Mollie Blundell Moran, 25 Boathouse Lane:</w:t>
            </w:r>
            <w:r>
              <w:t xml:space="preserve">  To be allowed </w:t>
            </w:r>
            <w:r w:rsidR="00280B53">
              <w:t xml:space="preserve">an extension of a previously approved Special Permit </w:t>
            </w:r>
            <w:r>
              <w:t xml:space="preserve">to </w:t>
            </w:r>
            <w:r w:rsidR="00280B53">
              <w:t xml:space="preserve">construct a single family dwelling </w:t>
            </w:r>
            <w:r>
              <w:t xml:space="preserve">on a previously developed lot, of which approximately 80% is in the Flood Plain Overlay District. </w:t>
            </w:r>
            <w:r>
              <w:rPr>
                <w:i/>
              </w:rPr>
              <w:t>Town of Dedham Zoning Bylaw Section 8.1, Flood Plain Overlay District, Section 9.2, and Section 9.3</w:t>
            </w:r>
          </w:p>
        </w:tc>
      </w:tr>
      <w:tr w:rsidR="000F7389" w:rsidRPr="00CE3EF3" w:rsidTr="0041232C">
        <w:tc>
          <w:tcPr>
            <w:tcW w:w="1260" w:type="dxa"/>
          </w:tcPr>
          <w:p w:rsidR="000F7389" w:rsidRDefault="000F7389" w:rsidP="005E792C">
            <w:pPr>
              <w:pStyle w:val="NoSpacing"/>
            </w:pPr>
            <w:r>
              <w:t>7:55 p.m.</w:t>
            </w:r>
          </w:p>
        </w:tc>
        <w:tc>
          <w:tcPr>
            <w:tcW w:w="8820" w:type="dxa"/>
          </w:tcPr>
          <w:p w:rsidR="000F7389" w:rsidRPr="000F7389" w:rsidRDefault="000F7389" w:rsidP="000F7389">
            <w:pPr>
              <w:pStyle w:val="NoSpacing"/>
              <w:rPr>
                <w:i/>
              </w:rPr>
            </w:pPr>
            <w:r>
              <w:rPr>
                <w:b/>
              </w:rPr>
              <w:t>James Sullivan, 31 Chestnut Street:</w:t>
            </w:r>
            <w:r>
              <w:t xml:space="preserve">  To be allowed a Special Permit to have 28% impervious lot coverage instead of the allowed 25%; to be allowed a variance to locate an accessory building five (5) feet from the left side and rear property lines with a height of one-and-one-half (1½) stories instead of the allowed single story; to be allowed a variance to locate an accessory building that will be approximately eight (8) feet from an adjacent building instead of the required 10 feet.</w:t>
            </w:r>
            <w:r>
              <w:rPr>
                <w:i/>
              </w:rPr>
              <w:t xml:space="preserve"> Town of Dedham Zoning Bylaw Section 4.0 Table 2, Table of Dimensional Requirements, and Section 8.2 Aquifer Protection Overlay District</w:t>
            </w:r>
          </w:p>
        </w:tc>
      </w:tr>
      <w:tr w:rsidR="0041232C" w:rsidRPr="00CE3EF3" w:rsidTr="0041232C">
        <w:tc>
          <w:tcPr>
            <w:tcW w:w="1260" w:type="dxa"/>
          </w:tcPr>
          <w:p w:rsidR="0041232C" w:rsidRDefault="000F7389" w:rsidP="005E792C">
            <w:pPr>
              <w:pStyle w:val="NoSpacing"/>
            </w:pPr>
            <w:r>
              <w:t>8:00</w:t>
            </w:r>
            <w:r w:rsidR="0041232C">
              <w:t xml:space="preserve"> p.m.</w:t>
            </w:r>
          </w:p>
        </w:tc>
        <w:tc>
          <w:tcPr>
            <w:tcW w:w="8820" w:type="dxa"/>
          </w:tcPr>
          <w:p w:rsidR="0041232C" w:rsidRPr="00CE3EF3" w:rsidRDefault="0041232C" w:rsidP="004045CA">
            <w:pPr>
              <w:pStyle w:val="NoSpacing"/>
              <w:jc w:val="center"/>
            </w:pPr>
            <w:r w:rsidRPr="0041232C">
              <w:rPr>
                <w:b/>
              </w:rPr>
              <w:t>Anna Haluch, 694 Washington Street:</w:t>
            </w:r>
            <w:r>
              <w:t xml:space="preserve">  </w:t>
            </w:r>
            <w:r>
              <w:rPr>
                <w:b/>
                <w:color w:val="C00000"/>
                <w:u w:val="single"/>
              </w:rPr>
              <w:t>CONTINUATION FROM 6/20/18</w:t>
            </w:r>
            <w:r w:rsidRPr="0041232C">
              <w:rPr>
                <w:b/>
                <w:color w:val="C00000"/>
              </w:rPr>
              <w:t xml:space="preserve">:  </w:t>
            </w:r>
            <w:r>
              <w:t xml:space="preserve">To be allowed </w:t>
            </w:r>
            <w:r w:rsidRPr="00A229D7">
              <w:t xml:space="preserve">a waiver from the Town of Dedham Sign Code to remove the manual gas price changer and replace it with an internally illuminated 41” x 46” digital gas price changer on the existing </w:t>
            </w:r>
            <w:r>
              <w:t xml:space="preserve">10 foot high </w:t>
            </w:r>
            <w:r w:rsidRPr="00A229D7">
              <w:t>pylon sign</w:t>
            </w:r>
            <w:r>
              <w:t xml:space="preserve"> that will be 10 feet high</w:t>
            </w:r>
            <w:r w:rsidRPr="00A229D7">
              <w:t>.</w:t>
            </w:r>
            <w:r>
              <w:t xml:space="preserve"> </w:t>
            </w:r>
            <w:r>
              <w:rPr>
                <w:i/>
              </w:rPr>
              <w:t>Town of Dedham Sign Code Sections 237-18 Illumination, 237-19 Computation of Sign Area and Height, 237-4 Definitions, Off-Premises Sign, Table 1, Permitted Signs by Type and District</w:t>
            </w:r>
          </w:p>
        </w:tc>
      </w:tr>
      <w:tr w:rsidR="0041232C" w:rsidRPr="00CE3EF3" w:rsidTr="0041232C">
        <w:tc>
          <w:tcPr>
            <w:tcW w:w="1260" w:type="dxa"/>
          </w:tcPr>
          <w:p w:rsidR="0041232C" w:rsidRDefault="000F7389" w:rsidP="005E792C">
            <w:pPr>
              <w:pStyle w:val="NoSpacing"/>
            </w:pPr>
            <w:r>
              <w:t>8:0</w:t>
            </w:r>
            <w:r w:rsidR="0041232C">
              <w:t>5 p.m.</w:t>
            </w:r>
          </w:p>
        </w:tc>
        <w:tc>
          <w:tcPr>
            <w:tcW w:w="8820" w:type="dxa"/>
          </w:tcPr>
          <w:p w:rsidR="0041232C" w:rsidRPr="00CE3EF3" w:rsidRDefault="0041232C" w:rsidP="005E792C">
            <w:pPr>
              <w:pStyle w:val="NoSpacing"/>
            </w:pPr>
            <w:r w:rsidRPr="0041232C">
              <w:rPr>
                <w:b/>
              </w:rPr>
              <w:t xml:space="preserve">63 Colonial Drive, LLC, </w:t>
            </w:r>
            <w:proofErr w:type="gramStart"/>
            <w:r w:rsidRPr="0041232C">
              <w:rPr>
                <w:b/>
              </w:rPr>
              <w:t>63</w:t>
            </w:r>
            <w:proofErr w:type="gramEnd"/>
            <w:r w:rsidRPr="0041232C">
              <w:rPr>
                <w:b/>
              </w:rPr>
              <w:t xml:space="preserve"> Colonial Drive:</w:t>
            </w:r>
            <w:r>
              <w:t xml:space="preserve">  </w:t>
            </w:r>
            <w:r>
              <w:rPr>
                <w:b/>
                <w:color w:val="C00000"/>
                <w:u w:val="single"/>
              </w:rPr>
              <w:t>CONTINUATION FROM 6/20/18</w:t>
            </w:r>
            <w:r w:rsidRPr="0041232C">
              <w:rPr>
                <w:b/>
                <w:color w:val="C00000"/>
              </w:rPr>
              <w:t xml:space="preserve">:  </w:t>
            </w:r>
            <w:r>
              <w:t xml:space="preserve">To be allowed a front yard setback of 10 feet instead of the required 25 feet to construct a new single family dwelling. </w:t>
            </w:r>
            <w:r>
              <w:rPr>
                <w:i/>
              </w:rPr>
              <w:t>Town of Dedham Zoning Bylaw Section 4.1, Table of Dimensional Requirements</w:t>
            </w:r>
          </w:p>
        </w:tc>
      </w:tr>
      <w:tr w:rsidR="0041232C" w:rsidRPr="00CE3EF3" w:rsidTr="0041232C">
        <w:tc>
          <w:tcPr>
            <w:tcW w:w="1260" w:type="dxa"/>
          </w:tcPr>
          <w:p w:rsidR="0041232C" w:rsidRDefault="000F7389" w:rsidP="005E792C">
            <w:pPr>
              <w:pStyle w:val="NoSpacing"/>
            </w:pPr>
            <w:r>
              <w:t>8:10</w:t>
            </w:r>
            <w:r w:rsidR="0041232C">
              <w:t xml:space="preserve"> p.m.</w:t>
            </w:r>
          </w:p>
        </w:tc>
        <w:tc>
          <w:tcPr>
            <w:tcW w:w="8820" w:type="dxa"/>
          </w:tcPr>
          <w:p w:rsidR="0041232C" w:rsidRPr="00B14982" w:rsidRDefault="0041232C" w:rsidP="005E792C">
            <w:pPr>
              <w:pStyle w:val="NoSpacing"/>
              <w:rPr>
                <w:b/>
                <w:i/>
              </w:rPr>
            </w:pPr>
            <w:r w:rsidRPr="0041232C">
              <w:rPr>
                <w:b/>
              </w:rPr>
              <w:t>Kevin Costello, 35 Roosevelt Road:</w:t>
            </w:r>
            <w:r>
              <w:t xml:space="preserve">  </w:t>
            </w:r>
            <w:r>
              <w:rPr>
                <w:b/>
                <w:color w:val="C00000"/>
                <w:u w:val="single"/>
              </w:rPr>
              <w:t>CONTINUATION FROM 6/20/18</w:t>
            </w:r>
            <w:r w:rsidRPr="0041232C">
              <w:rPr>
                <w:b/>
                <w:color w:val="C00000"/>
              </w:rPr>
              <w:t xml:space="preserve">:  </w:t>
            </w:r>
            <w:r>
              <w:rPr>
                <w:b/>
                <w:color w:val="C00000"/>
              </w:rPr>
              <w:t xml:space="preserve"> </w:t>
            </w:r>
            <w:r>
              <w:t xml:space="preserve">To be allowed such Special Permits and variances as required to construct a single family dwelling on a lot with an area of 7,500 square feet instead of the required 12,500 square feet, lot frontage and width of 75 feet instead of the required 95 feet, and with a resulting impervious surface of 25% of the lot area, including the area to the center line of any new street, in the Single Residence B zoning district and the Aquifer Protection Overlay district. </w:t>
            </w:r>
            <w:r>
              <w:rPr>
                <w:i/>
              </w:rPr>
              <w:t>Town of Dedham Zoning Bylaw Sections 8.2, 9.2, 9.3, and Table 2</w:t>
            </w:r>
          </w:p>
        </w:tc>
      </w:tr>
      <w:tr w:rsidR="0041232C" w:rsidRPr="00CE3EF3" w:rsidTr="0041232C">
        <w:tc>
          <w:tcPr>
            <w:tcW w:w="1260" w:type="dxa"/>
          </w:tcPr>
          <w:p w:rsidR="0041232C" w:rsidRDefault="0041232C" w:rsidP="005E792C">
            <w:pPr>
              <w:pStyle w:val="NoSpacing"/>
            </w:pPr>
          </w:p>
        </w:tc>
        <w:tc>
          <w:tcPr>
            <w:tcW w:w="8820" w:type="dxa"/>
          </w:tcPr>
          <w:p w:rsidR="0041232C" w:rsidRPr="0041232C" w:rsidRDefault="0041232C" w:rsidP="005E792C">
            <w:pPr>
              <w:pStyle w:val="NoSpacing"/>
            </w:pPr>
          </w:p>
        </w:tc>
      </w:tr>
      <w:tr w:rsidR="0041232C" w:rsidRPr="00CE3EF3" w:rsidTr="0041232C">
        <w:tc>
          <w:tcPr>
            <w:tcW w:w="1260" w:type="dxa"/>
          </w:tcPr>
          <w:p w:rsidR="0041232C" w:rsidRPr="00CE3EF3" w:rsidRDefault="0041232C" w:rsidP="005E792C">
            <w:pPr>
              <w:pStyle w:val="NoSpacing"/>
            </w:pPr>
          </w:p>
        </w:tc>
        <w:tc>
          <w:tcPr>
            <w:tcW w:w="8820" w:type="dxa"/>
          </w:tcPr>
          <w:p w:rsidR="005E792C" w:rsidRDefault="0041232C" w:rsidP="005E792C">
            <w:pPr>
              <w:pStyle w:val="NoSpacing"/>
              <w:rPr>
                <w:b/>
                <w:color w:val="FF0000"/>
              </w:rPr>
            </w:pPr>
            <w:r w:rsidRPr="00F005E1">
              <w:rPr>
                <w:b/>
              </w:rPr>
              <w:t>Old/New Business</w:t>
            </w:r>
            <w:r w:rsidRPr="00F005E1">
              <w:rPr>
                <w:b/>
                <w:color w:val="FF0000"/>
              </w:rPr>
              <w:t>*</w:t>
            </w:r>
          </w:p>
          <w:p w:rsidR="0041232C" w:rsidRDefault="0041232C" w:rsidP="005E792C">
            <w:pPr>
              <w:pStyle w:val="NoSpacing"/>
              <w:numPr>
                <w:ilvl w:val="0"/>
                <w:numId w:val="6"/>
              </w:numPr>
            </w:pPr>
            <w:r>
              <w:t>Review of Minutes, 6/20/18</w:t>
            </w:r>
          </w:p>
          <w:p w:rsidR="0041232C" w:rsidRPr="00CE3EF3" w:rsidRDefault="0041232C" w:rsidP="005E792C">
            <w:pPr>
              <w:pStyle w:val="NoSpacing"/>
            </w:pPr>
          </w:p>
          <w:p w:rsidR="0041232C" w:rsidRPr="00CE3EF3" w:rsidRDefault="0041232C" w:rsidP="005E792C">
            <w:pPr>
              <w:pStyle w:val="NoSpacing"/>
            </w:pPr>
            <w:r w:rsidRPr="00F005E1">
              <w:rPr>
                <w:b/>
                <w:color w:val="FF0000"/>
                <w:sz w:val="24"/>
                <w:szCs w:val="24"/>
              </w:rPr>
              <w:t>*</w:t>
            </w:r>
            <w:r w:rsidRPr="00CE3EF3">
              <w:t>This item is included to acknowledge that there may be matters not anticipated by the Chair that could be raised during the meeting by other members of the Committee/Board, by staff, or by the public.</w:t>
            </w:r>
          </w:p>
        </w:tc>
      </w:tr>
      <w:tr w:rsidR="0041232C" w:rsidRPr="00CE3EF3" w:rsidTr="0041232C">
        <w:tc>
          <w:tcPr>
            <w:tcW w:w="1260" w:type="dxa"/>
          </w:tcPr>
          <w:p w:rsidR="0041232C" w:rsidRPr="00CE3EF3" w:rsidRDefault="0041232C" w:rsidP="005E792C">
            <w:pPr>
              <w:pStyle w:val="NoSpacing"/>
            </w:pPr>
          </w:p>
        </w:tc>
        <w:tc>
          <w:tcPr>
            <w:tcW w:w="8820" w:type="dxa"/>
          </w:tcPr>
          <w:p w:rsidR="0041232C" w:rsidRPr="00F005E1" w:rsidRDefault="0041232C" w:rsidP="005E792C">
            <w:pPr>
              <w:pStyle w:val="NoSpacing"/>
            </w:pPr>
          </w:p>
        </w:tc>
      </w:tr>
    </w:tbl>
    <w:p w:rsidR="00B15CA5" w:rsidRPr="00CE3EF3" w:rsidRDefault="00B15CA5" w:rsidP="00C1325B">
      <w:pPr>
        <w:rPr>
          <w:rFonts w:ascii="Cambria" w:hAnsi="Cambria"/>
          <w:b/>
          <w:sz w:val="22"/>
          <w:szCs w:val="22"/>
          <w:u w:val="single"/>
        </w:rPr>
      </w:pPr>
    </w:p>
    <w:p w:rsidR="00C1325B" w:rsidRPr="00CE3EF3" w:rsidRDefault="00C1325B" w:rsidP="00C1325B">
      <w:pPr>
        <w:rPr>
          <w:rFonts w:ascii="Cambria" w:hAnsi="Cambria"/>
          <w:sz w:val="22"/>
          <w:szCs w:val="22"/>
        </w:rPr>
      </w:pPr>
    </w:p>
    <w:sectPr w:rsidR="00C1325B" w:rsidRPr="00CE3EF3" w:rsidSect="005E792C">
      <w:pgSz w:w="12240" w:h="15840"/>
      <w:pgMar w:top="72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E6708"/>
    <w:multiLevelType w:val="hybridMultilevel"/>
    <w:tmpl w:val="D96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139D4"/>
    <w:multiLevelType w:val="hybridMultilevel"/>
    <w:tmpl w:val="4E9E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342A"/>
    <w:rsid w:val="00044D89"/>
    <w:rsid w:val="00052049"/>
    <w:rsid w:val="000539AA"/>
    <w:rsid w:val="00053B4E"/>
    <w:rsid w:val="00076062"/>
    <w:rsid w:val="00094ABD"/>
    <w:rsid w:val="000B1C33"/>
    <w:rsid w:val="000C4846"/>
    <w:rsid w:val="000E70DC"/>
    <w:rsid w:val="000F32A2"/>
    <w:rsid w:val="000F4206"/>
    <w:rsid w:val="000F7389"/>
    <w:rsid w:val="00102544"/>
    <w:rsid w:val="0011068D"/>
    <w:rsid w:val="001133D6"/>
    <w:rsid w:val="00127BF9"/>
    <w:rsid w:val="00146654"/>
    <w:rsid w:val="001827C0"/>
    <w:rsid w:val="001C600F"/>
    <w:rsid w:val="001C7291"/>
    <w:rsid w:val="001C79B4"/>
    <w:rsid w:val="00200FFC"/>
    <w:rsid w:val="0024112F"/>
    <w:rsid w:val="002769A5"/>
    <w:rsid w:val="00280B53"/>
    <w:rsid w:val="002919EB"/>
    <w:rsid w:val="002A05B3"/>
    <w:rsid w:val="002A4457"/>
    <w:rsid w:val="002B3CC1"/>
    <w:rsid w:val="002C0BD5"/>
    <w:rsid w:val="002C3270"/>
    <w:rsid w:val="002D3A48"/>
    <w:rsid w:val="002E315A"/>
    <w:rsid w:val="002F331D"/>
    <w:rsid w:val="002F4D42"/>
    <w:rsid w:val="00305DB5"/>
    <w:rsid w:val="0030731C"/>
    <w:rsid w:val="00312FC5"/>
    <w:rsid w:val="00313AF1"/>
    <w:rsid w:val="00325930"/>
    <w:rsid w:val="00327A51"/>
    <w:rsid w:val="00334D65"/>
    <w:rsid w:val="00350945"/>
    <w:rsid w:val="00362058"/>
    <w:rsid w:val="00363992"/>
    <w:rsid w:val="0038075D"/>
    <w:rsid w:val="003807BC"/>
    <w:rsid w:val="003941B3"/>
    <w:rsid w:val="003A1160"/>
    <w:rsid w:val="003A32B8"/>
    <w:rsid w:val="003A6C73"/>
    <w:rsid w:val="003B1055"/>
    <w:rsid w:val="003B243E"/>
    <w:rsid w:val="003C6810"/>
    <w:rsid w:val="003C7101"/>
    <w:rsid w:val="003E2EF0"/>
    <w:rsid w:val="0040116B"/>
    <w:rsid w:val="00402258"/>
    <w:rsid w:val="0040309A"/>
    <w:rsid w:val="004044E7"/>
    <w:rsid w:val="004045CA"/>
    <w:rsid w:val="00404ED7"/>
    <w:rsid w:val="0041232C"/>
    <w:rsid w:val="00416C8B"/>
    <w:rsid w:val="00425E88"/>
    <w:rsid w:val="00426709"/>
    <w:rsid w:val="00427E82"/>
    <w:rsid w:val="00436FAB"/>
    <w:rsid w:val="00442149"/>
    <w:rsid w:val="00442D24"/>
    <w:rsid w:val="00446FC2"/>
    <w:rsid w:val="00447EA2"/>
    <w:rsid w:val="00451E4D"/>
    <w:rsid w:val="00467101"/>
    <w:rsid w:val="004671D7"/>
    <w:rsid w:val="00480271"/>
    <w:rsid w:val="004934B9"/>
    <w:rsid w:val="00493621"/>
    <w:rsid w:val="004A3588"/>
    <w:rsid w:val="004B2B6A"/>
    <w:rsid w:val="004B4A84"/>
    <w:rsid w:val="004C13F5"/>
    <w:rsid w:val="004C4C12"/>
    <w:rsid w:val="00511DF4"/>
    <w:rsid w:val="00530410"/>
    <w:rsid w:val="005344A5"/>
    <w:rsid w:val="00536858"/>
    <w:rsid w:val="00536A34"/>
    <w:rsid w:val="005633FD"/>
    <w:rsid w:val="00575526"/>
    <w:rsid w:val="005806FD"/>
    <w:rsid w:val="0058753F"/>
    <w:rsid w:val="005909DF"/>
    <w:rsid w:val="005A2E04"/>
    <w:rsid w:val="005B77CD"/>
    <w:rsid w:val="005C76CB"/>
    <w:rsid w:val="005C76D6"/>
    <w:rsid w:val="005D09C5"/>
    <w:rsid w:val="005E6B3A"/>
    <w:rsid w:val="005E792C"/>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36DFC"/>
    <w:rsid w:val="00742C61"/>
    <w:rsid w:val="00743BD0"/>
    <w:rsid w:val="0075220C"/>
    <w:rsid w:val="00767DDD"/>
    <w:rsid w:val="00770FEB"/>
    <w:rsid w:val="00775A3A"/>
    <w:rsid w:val="007809F0"/>
    <w:rsid w:val="007A3298"/>
    <w:rsid w:val="007A4D32"/>
    <w:rsid w:val="007B64C0"/>
    <w:rsid w:val="007B7321"/>
    <w:rsid w:val="007E0B98"/>
    <w:rsid w:val="007E11D1"/>
    <w:rsid w:val="007F06B8"/>
    <w:rsid w:val="007F4202"/>
    <w:rsid w:val="00805C08"/>
    <w:rsid w:val="00807131"/>
    <w:rsid w:val="00823B55"/>
    <w:rsid w:val="00847C1D"/>
    <w:rsid w:val="00866038"/>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77864"/>
    <w:rsid w:val="009A3BDF"/>
    <w:rsid w:val="009A69EA"/>
    <w:rsid w:val="009C3AEF"/>
    <w:rsid w:val="009C577E"/>
    <w:rsid w:val="009D0C29"/>
    <w:rsid w:val="009D0FF8"/>
    <w:rsid w:val="009E0AC9"/>
    <w:rsid w:val="009F7DC9"/>
    <w:rsid w:val="00A106D4"/>
    <w:rsid w:val="00A12CAA"/>
    <w:rsid w:val="00A17F91"/>
    <w:rsid w:val="00A23E99"/>
    <w:rsid w:val="00A26AD2"/>
    <w:rsid w:val="00A36FC7"/>
    <w:rsid w:val="00A40ECC"/>
    <w:rsid w:val="00A573C4"/>
    <w:rsid w:val="00A70652"/>
    <w:rsid w:val="00A80EB6"/>
    <w:rsid w:val="00A81502"/>
    <w:rsid w:val="00AC4312"/>
    <w:rsid w:val="00B06241"/>
    <w:rsid w:val="00B11EED"/>
    <w:rsid w:val="00B1540C"/>
    <w:rsid w:val="00B15A58"/>
    <w:rsid w:val="00B15CA5"/>
    <w:rsid w:val="00B20575"/>
    <w:rsid w:val="00B22642"/>
    <w:rsid w:val="00B36C0A"/>
    <w:rsid w:val="00B42B8D"/>
    <w:rsid w:val="00B441A7"/>
    <w:rsid w:val="00B46C7D"/>
    <w:rsid w:val="00B51598"/>
    <w:rsid w:val="00B558A6"/>
    <w:rsid w:val="00B56FA0"/>
    <w:rsid w:val="00B72145"/>
    <w:rsid w:val="00B77011"/>
    <w:rsid w:val="00B8161E"/>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554B6"/>
    <w:rsid w:val="00C6544E"/>
    <w:rsid w:val="00C65F37"/>
    <w:rsid w:val="00C75C08"/>
    <w:rsid w:val="00C76B2A"/>
    <w:rsid w:val="00C87159"/>
    <w:rsid w:val="00C87BD3"/>
    <w:rsid w:val="00CC1C6F"/>
    <w:rsid w:val="00CD1C91"/>
    <w:rsid w:val="00CE0C4B"/>
    <w:rsid w:val="00CE3EF3"/>
    <w:rsid w:val="00CF72AB"/>
    <w:rsid w:val="00D0234A"/>
    <w:rsid w:val="00D0491E"/>
    <w:rsid w:val="00D11B81"/>
    <w:rsid w:val="00D15C59"/>
    <w:rsid w:val="00D22500"/>
    <w:rsid w:val="00D2523C"/>
    <w:rsid w:val="00D276AC"/>
    <w:rsid w:val="00D46744"/>
    <w:rsid w:val="00D51C8A"/>
    <w:rsid w:val="00D6036E"/>
    <w:rsid w:val="00D63CC6"/>
    <w:rsid w:val="00D71547"/>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9C4"/>
    <w:rsid w:val="00E65A00"/>
    <w:rsid w:val="00E67A31"/>
    <w:rsid w:val="00E850A2"/>
    <w:rsid w:val="00EA694E"/>
    <w:rsid w:val="00EB0ED8"/>
    <w:rsid w:val="00EB3462"/>
    <w:rsid w:val="00EC6A54"/>
    <w:rsid w:val="00EE3A8F"/>
    <w:rsid w:val="00EF6703"/>
    <w:rsid w:val="00F005E1"/>
    <w:rsid w:val="00F206B2"/>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5E792C"/>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5E792C"/>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Jennifer Doherty</cp:lastModifiedBy>
  <cp:revision>22</cp:revision>
  <dcterms:created xsi:type="dcterms:W3CDTF">2018-06-13T14:16:00Z</dcterms:created>
  <dcterms:modified xsi:type="dcterms:W3CDTF">2018-07-12T20:27:00Z</dcterms:modified>
</cp:coreProperties>
</file>